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E1E40">
      <w:pPr>
        <w:jc w:val="center"/>
        <w:rPr>
          <w:rFonts w:hint="eastAsia" w:ascii="黑体" w:hAnsi="黑体" w:eastAsia="黑体" w:cs="黑体"/>
          <w:b/>
          <w:bCs/>
          <w:sz w:val="36"/>
          <w:szCs w:val="36"/>
        </w:rPr>
      </w:pPr>
      <w:r>
        <w:rPr>
          <w:rFonts w:hint="eastAsia" w:ascii="黑体" w:hAnsi="黑体" w:eastAsia="黑体" w:cs="黑体"/>
          <w:b/>
          <w:bCs/>
          <w:sz w:val="36"/>
          <w:szCs w:val="36"/>
        </w:rPr>
        <w:t>海南医科大学第二附属医院</w:t>
      </w:r>
    </w:p>
    <w:p w14:paraId="399362DE">
      <w:pPr>
        <w:jc w:val="center"/>
        <w:rPr>
          <w:rFonts w:hint="eastAsia" w:ascii="黑体" w:hAnsi="黑体" w:eastAsia="黑体" w:cs="黑体"/>
          <w:b/>
          <w:bCs/>
          <w:sz w:val="36"/>
          <w:szCs w:val="36"/>
        </w:rPr>
      </w:pPr>
      <w:r>
        <w:rPr>
          <w:rFonts w:hint="eastAsia" w:ascii="黑体" w:hAnsi="黑体" w:eastAsia="黑体" w:cs="黑体"/>
          <w:b/>
          <w:bCs/>
          <w:sz w:val="36"/>
          <w:szCs w:val="36"/>
        </w:rPr>
        <w:t>医保业务综合服务（系统相关软硬件）采购项目</w:t>
      </w:r>
    </w:p>
    <w:p w14:paraId="4955FC6E">
      <w:pPr>
        <w:jc w:val="center"/>
        <w:rPr>
          <w:rFonts w:hint="eastAsia" w:ascii="黑体" w:hAnsi="黑体" w:eastAsia="黑体" w:cs="黑体"/>
          <w:b/>
          <w:bCs/>
          <w:sz w:val="36"/>
          <w:szCs w:val="36"/>
        </w:rPr>
      </w:pPr>
      <w:r>
        <w:rPr>
          <w:rFonts w:hint="eastAsia" w:ascii="黑体" w:hAnsi="黑体" w:eastAsia="黑体" w:cs="黑体"/>
          <w:b/>
          <w:bCs/>
          <w:sz w:val="36"/>
          <w:szCs w:val="36"/>
        </w:rPr>
        <w:t>需求书</w:t>
      </w:r>
    </w:p>
    <w:p w14:paraId="60482F85">
      <w:pPr>
        <w:pStyle w:val="3"/>
        <w:numPr>
          <w:ilvl w:val="1"/>
          <w:numId w:val="0"/>
        </w:numPr>
        <w:spacing w:before="156" w:after="156"/>
        <w:rPr>
          <w:rFonts w:hint="eastAsia" w:ascii="宋体" w:hAnsi="宋体" w:eastAsia="宋体"/>
          <w:sz w:val="28"/>
          <w:szCs w:val="28"/>
        </w:rPr>
      </w:pPr>
      <w:r>
        <w:rPr>
          <w:rFonts w:hint="eastAsia" w:ascii="宋体" w:hAnsi="宋体" w:eastAsia="宋体"/>
          <w:sz w:val="28"/>
          <w:szCs w:val="28"/>
          <w:lang w:val="en-US" w:eastAsia="zh-CN"/>
        </w:rPr>
        <w:t>1</w:t>
      </w:r>
      <w:r>
        <w:rPr>
          <w:rFonts w:hint="eastAsia" w:ascii="宋体" w:hAnsi="宋体" w:eastAsia="宋体"/>
          <w:sz w:val="28"/>
          <w:szCs w:val="28"/>
        </w:rPr>
        <w:t>项目概述</w:t>
      </w:r>
    </w:p>
    <w:p w14:paraId="353870C2">
      <w:pPr>
        <w:pStyle w:val="18"/>
        <w:spacing w:line="360" w:lineRule="auto"/>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近年来，国家医保局持续推进“互联网+医保服务”建设，先后印发《关于全面推进医疗保障经办服务标准化规范化的意见》《“十四五”全民医疗保障规划》等政策文件，明确要求优化医保服务流程，实现医保业务“就近办、便捷办”。</w:t>
      </w:r>
    </w:p>
    <w:p w14:paraId="2E0F565B">
      <w:pPr>
        <w:pStyle w:val="18"/>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当前，</w:t>
      </w:r>
      <w:r>
        <w:rPr>
          <w:rFonts w:hint="eastAsia" w:ascii="Times New Roman" w:hAnsi="Times New Roman" w:eastAsia="宋体" w:cs="Times New Roman"/>
          <w:kern w:val="0"/>
          <w:sz w:val="24"/>
          <w:szCs w:val="24"/>
          <w:lang w:val="en-US" w:eastAsia="zh-CN"/>
        </w:rPr>
        <w:t>我院</w:t>
      </w:r>
      <w:r>
        <w:rPr>
          <w:rFonts w:hint="eastAsia" w:ascii="Times New Roman" w:hAnsi="Times New Roman" w:eastAsia="宋体" w:cs="Times New Roman"/>
          <w:kern w:val="0"/>
          <w:sz w:val="24"/>
          <w:szCs w:val="24"/>
        </w:rPr>
        <w:t>医保业务办理依赖人工窗口，</w:t>
      </w:r>
      <w:r>
        <w:rPr>
          <w:rFonts w:hint="eastAsia" w:ascii="Times New Roman" w:hAnsi="Times New Roman" w:eastAsia="宋体" w:cs="Times New Roman"/>
          <w:kern w:val="0"/>
          <w:sz w:val="24"/>
          <w:szCs w:val="24"/>
          <w:lang w:val="en-US" w:eastAsia="zh-CN"/>
        </w:rPr>
        <w:t>存在患者</w:t>
      </w:r>
      <w:r>
        <w:rPr>
          <w:rFonts w:hint="eastAsia" w:ascii="Times New Roman" w:hAnsi="Times New Roman" w:eastAsia="宋体" w:cs="Times New Roman"/>
          <w:kern w:val="0"/>
          <w:sz w:val="24"/>
          <w:szCs w:val="24"/>
        </w:rPr>
        <w:t>排队</w:t>
      </w:r>
      <w:r>
        <w:rPr>
          <w:rFonts w:hint="eastAsia" w:ascii="Times New Roman" w:hAnsi="Times New Roman" w:eastAsia="宋体" w:cs="Times New Roman"/>
          <w:kern w:val="0"/>
          <w:sz w:val="24"/>
          <w:szCs w:val="24"/>
          <w:lang w:val="en-US" w:eastAsia="zh-CN"/>
        </w:rPr>
        <w:t>等待时间</w:t>
      </w:r>
      <w:r>
        <w:rPr>
          <w:rFonts w:hint="eastAsia" w:ascii="Times New Roman" w:hAnsi="Times New Roman" w:eastAsia="宋体" w:cs="Times New Roman"/>
          <w:kern w:val="0"/>
          <w:sz w:val="24"/>
          <w:szCs w:val="24"/>
        </w:rPr>
        <w:t>长</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lang w:val="en-US" w:eastAsia="zh-CN"/>
        </w:rPr>
        <w:t>患者体验不佳的问题，为</w:t>
      </w:r>
      <w:r>
        <w:rPr>
          <w:rFonts w:hint="eastAsia" w:ascii="Times New Roman" w:hAnsi="Times New Roman" w:eastAsia="宋体" w:cs="Times New Roman"/>
          <w:kern w:val="0"/>
          <w:sz w:val="24"/>
          <w:szCs w:val="24"/>
        </w:rPr>
        <w:t>减少患者排队等待时间，让患者</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少跑腿、快办事”，提升医院医保服务效率</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lang w:val="en-US" w:eastAsia="zh-CN"/>
        </w:rPr>
        <w:t>故开展本项目。</w:t>
      </w:r>
      <w:r>
        <w:rPr>
          <w:rFonts w:hint="eastAsia" w:ascii="MS Gothic" w:hAnsi="MS Gothic" w:eastAsia="MS Gothic" w:cs="MS Gothic"/>
          <w:kern w:val="0"/>
          <w:sz w:val="24"/>
          <w:szCs w:val="24"/>
        </w:rPr>
        <w:t>​</w:t>
      </w:r>
    </w:p>
    <w:p w14:paraId="3BCFD27A">
      <w:pPr>
        <w:pStyle w:val="3"/>
        <w:numPr>
          <w:ilvl w:val="0"/>
          <w:numId w:val="0"/>
        </w:numPr>
        <w:spacing w:before="0" w:after="0" w:line="240" w:lineRule="auto"/>
        <w:rPr>
          <w:rFonts w:ascii="宋体" w:hAnsi="宋体" w:eastAsia="宋体"/>
          <w:sz w:val="28"/>
          <w:szCs w:val="28"/>
        </w:rPr>
      </w:pPr>
      <w:r>
        <w:rPr>
          <w:rFonts w:hint="eastAsia" w:ascii="宋体" w:hAnsi="宋体" w:eastAsia="宋体"/>
          <w:sz w:val="28"/>
          <w:szCs w:val="28"/>
          <w:lang w:val="en-US" w:eastAsia="zh-CN"/>
        </w:rPr>
        <w:t>2</w:t>
      </w:r>
      <w:r>
        <w:rPr>
          <w:rFonts w:hint="eastAsia" w:ascii="宋体" w:hAnsi="宋体" w:eastAsia="宋体"/>
          <w:sz w:val="28"/>
          <w:szCs w:val="28"/>
        </w:rPr>
        <w:t>建设目标</w:t>
      </w:r>
    </w:p>
    <w:p w14:paraId="64FA80D4">
      <w:pPr>
        <w:pStyle w:val="18"/>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提升医保业务办理效率与便捷性：通过医保业务综合服务终端（桌面式）及配套软件，实现医保参保人员信息查询、挂号缴费、医保报销等高频业务的自助办理，减少患者在人工窗口的排队等待时间，让患者</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少跑腿、快办事”，同时分流人工窗口业务量，减轻工作人员压力，提升医院医保服务整体效率。</w:t>
      </w:r>
      <w:r>
        <w:rPr>
          <w:rFonts w:hint="eastAsia" w:ascii="MS Gothic" w:hAnsi="MS Gothic" w:eastAsia="MS Gothic" w:cs="MS Gothic"/>
          <w:kern w:val="0"/>
          <w:sz w:val="24"/>
          <w:szCs w:val="24"/>
        </w:rPr>
        <w:t>​</w:t>
      </w:r>
    </w:p>
    <w:p w14:paraId="2399359E">
      <w:pPr>
        <w:pStyle w:val="3"/>
        <w:numPr>
          <w:ilvl w:val="0"/>
          <w:numId w:val="0"/>
        </w:numPr>
        <w:spacing w:before="0" w:after="0" w:line="240" w:lineRule="auto"/>
        <w:rPr>
          <w:rFonts w:ascii="宋体" w:hAnsi="宋体" w:eastAsia="宋体"/>
          <w:sz w:val="28"/>
          <w:szCs w:val="28"/>
        </w:rPr>
      </w:pPr>
      <w:r>
        <w:rPr>
          <w:rFonts w:hint="eastAsia" w:ascii="宋体" w:hAnsi="宋体" w:eastAsia="宋体"/>
          <w:sz w:val="28"/>
          <w:szCs w:val="28"/>
          <w:lang w:val="en-US" w:eastAsia="zh-CN"/>
        </w:rPr>
        <w:t>3</w:t>
      </w:r>
      <w:r>
        <w:rPr>
          <w:rFonts w:hint="eastAsia" w:ascii="宋体" w:hAnsi="宋体" w:eastAsia="宋体"/>
          <w:sz w:val="28"/>
          <w:szCs w:val="28"/>
        </w:rPr>
        <w:t>建设内容</w:t>
      </w:r>
    </w:p>
    <w:p w14:paraId="33196287">
      <w:pPr>
        <w:pStyle w:val="18"/>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kern w:val="0"/>
          <w:sz w:val="24"/>
          <w:szCs w:val="24"/>
          <w:lang w:val="zh-CN"/>
        </w:rPr>
        <w:t>（</w:t>
      </w:r>
      <w:r>
        <w:rPr>
          <w:rFonts w:hint="eastAsia" w:ascii="Times New Roman" w:hAnsi="Times New Roman" w:eastAsia="宋体" w:cs="Times New Roman"/>
          <w:kern w:val="0"/>
          <w:sz w:val="24"/>
          <w:szCs w:val="24"/>
          <w:lang w:val="en-US" w:eastAsia="zh-CN"/>
        </w:rPr>
        <w:t>一</w:t>
      </w:r>
      <w:r>
        <w:rPr>
          <w:rFonts w:hint="eastAsia" w:ascii="Times New Roman" w:hAnsi="Times New Roman" w:eastAsia="宋体" w:cs="Times New Roman"/>
          <w:kern w:val="0"/>
          <w:sz w:val="24"/>
          <w:szCs w:val="24"/>
          <w:lang w:val="zh-CN"/>
        </w:rPr>
        <w:t>）本项目建设内容</w:t>
      </w:r>
      <w:r>
        <w:rPr>
          <w:rFonts w:hint="eastAsia" w:ascii="Times New Roman" w:hAnsi="Times New Roman" w:eastAsia="宋体" w:cs="Times New Roman"/>
          <w:color w:val="000000"/>
          <w:sz w:val="24"/>
          <w:szCs w:val="24"/>
        </w:rPr>
        <w:t>包括</w:t>
      </w:r>
      <w:r>
        <w:rPr>
          <w:rFonts w:hint="eastAsia" w:ascii="Times New Roman" w:hAnsi="Times New Roman" w:eastAsia="宋体" w:cs="Times New Roman"/>
          <w:color w:val="FF0000"/>
          <w:sz w:val="24"/>
          <w:szCs w:val="24"/>
        </w:rPr>
        <w:t>软硬件</w:t>
      </w:r>
      <w:r>
        <w:rPr>
          <w:rFonts w:hint="eastAsia" w:ascii="Times New Roman" w:hAnsi="Times New Roman" w:eastAsia="宋体" w:cs="Times New Roman"/>
          <w:color w:val="000000"/>
          <w:sz w:val="24"/>
          <w:szCs w:val="24"/>
        </w:rPr>
        <w:t>的供货、安装、调试、运行、维护、技术支持及售后服务等，建设内容清单如下：</w:t>
      </w:r>
    </w:p>
    <w:tbl>
      <w:tblPr>
        <w:tblStyle w:val="15"/>
        <w:tblW w:w="854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2"/>
        <w:gridCol w:w="1507"/>
        <w:gridCol w:w="2250"/>
        <w:gridCol w:w="2031"/>
      </w:tblGrid>
      <w:tr w14:paraId="646A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40" w:type="dxa"/>
            <w:gridSpan w:val="4"/>
            <w:noWrap/>
          </w:tcPr>
          <w:p w14:paraId="431B006A">
            <w:pPr>
              <w:rPr>
                <w:rFonts w:ascii="宋体" w:hAnsi="宋体" w:eastAsia="宋体" w:cs="宋体"/>
                <w:szCs w:val="21"/>
              </w:rPr>
            </w:pPr>
            <w:r>
              <w:rPr>
                <w:rFonts w:hint="eastAsia" w:ascii="宋体" w:hAnsi="宋体" w:eastAsia="宋体" w:cs="宋体"/>
                <w:b/>
                <w:bCs/>
                <w:szCs w:val="21"/>
              </w:rPr>
              <w:t>软件部分：</w:t>
            </w:r>
          </w:p>
        </w:tc>
      </w:tr>
      <w:tr w14:paraId="2B9A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752" w:type="dxa"/>
            <w:noWrap/>
          </w:tcPr>
          <w:p w14:paraId="32BCE068">
            <w:pP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名称</w:t>
            </w:r>
          </w:p>
        </w:tc>
        <w:tc>
          <w:tcPr>
            <w:tcW w:w="1507" w:type="dxa"/>
            <w:noWrap/>
          </w:tcPr>
          <w:p w14:paraId="4F99ED3B">
            <w:pP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数量</w:t>
            </w:r>
          </w:p>
        </w:tc>
        <w:tc>
          <w:tcPr>
            <w:tcW w:w="2250" w:type="dxa"/>
            <w:noWrap/>
          </w:tcPr>
          <w:p w14:paraId="576E8CC7">
            <w:pP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单位</w:t>
            </w:r>
          </w:p>
        </w:tc>
        <w:tc>
          <w:tcPr>
            <w:tcW w:w="2031" w:type="dxa"/>
            <w:noWrap/>
          </w:tcPr>
          <w:p w14:paraId="052209F9">
            <w:pP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备注</w:t>
            </w:r>
          </w:p>
        </w:tc>
      </w:tr>
      <w:tr w14:paraId="66A6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752" w:type="dxa"/>
            <w:noWrap/>
          </w:tcPr>
          <w:p w14:paraId="285D2187">
            <w:pP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医保业务综合服务软件</w:t>
            </w:r>
          </w:p>
        </w:tc>
        <w:tc>
          <w:tcPr>
            <w:tcW w:w="1507" w:type="dxa"/>
            <w:noWrap/>
          </w:tcPr>
          <w:p w14:paraId="716CA03D">
            <w:pP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1</w:t>
            </w:r>
          </w:p>
        </w:tc>
        <w:tc>
          <w:tcPr>
            <w:tcW w:w="2250" w:type="dxa"/>
            <w:noWrap/>
          </w:tcPr>
          <w:p w14:paraId="27DBC41D">
            <w:pP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项</w:t>
            </w:r>
          </w:p>
        </w:tc>
        <w:tc>
          <w:tcPr>
            <w:tcW w:w="2031" w:type="dxa"/>
            <w:noWrap/>
          </w:tcPr>
          <w:p w14:paraId="7C6C8D50">
            <w:pPr>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须完成与医院相关系统的接口对接及改造</w:t>
            </w:r>
          </w:p>
        </w:tc>
      </w:tr>
    </w:tbl>
    <w:p w14:paraId="35D3C6D0"/>
    <w:tbl>
      <w:tblPr>
        <w:tblStyle w:val="15"/>
        <w:tblW w:w="856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
        <w:gridCol w:w="2341"/>
        <w:gridCol w:w="2850"/>
        <w:gridCol w:w="706"/>
        <w:gridCol w:w="592"/>
        <w:gridCol w:w="866"/>
        <w:gridCol w:w="866"/>
      </w:tblGrid>
      <w:tr w14:paraId="0F3C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560" w:type="dxa"/>
            <w:gridSpan w:val="7"/>
            <w:noWrap/>
            <w:vAlign w:val="center"/>
          </w:tcPr>
          <w:p w14:paraId="772DE925">
            <w:pPr>
              <w:rPr>
                <w:rFonts w:ascii="Times New Roman" w:hAnsi="Times New Roman" w:eastAsia="宋体" w:cs="Times New Roman"/>
                <w:kern w:val="0"/>
                <w:sz w:val="24"/>
              </w:rPr>
            </w:pPr>
            <w:r>
              <w:rPr>
                <w:rFonts w:hint="eastAsia" w:ascii="宋体" w:hAnsi="宋体" w:eastAsia="宋体" w:cs="宋体"/>
                <w:b/>
                <w:bCs/>
                <w:szCs w:val="21"/>
              </w:rPr>
              <w:t>硬件部分：</w:t>
            </w:r>
          </w:p>
        </w:tc>
      </w:tr>
      <w:tr w14:paraId="23AC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39" w:type="dxa"/>
            <w:noWrap/>
            <w:vAlign w:val="center"/>
          </w:tcPr>
          <w:p w14:paraId="41E104DA">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序号</w:t>
            </w:r>
          </w:p>
        </w:tc>
        <w:tc>
          <w:tcPr>
            <w:tcW w:w="2341" w:type="dxa"/>
            <w:vAlign w:val="center"/>
          </w:tcPr>
          <w:p w14:paraId="456E4BFC">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产品名称</w:t>
            </w:r>
          </w:p>
        </w:tc>
        <w:tc>
          <w:tcPr>
            <w:tcW w:w="2850" w:type="dxa"/>
            <w:vAlign w:val="center"/>
          </w:tcPr>
          <w:p w14:paraId="410157F0">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参考配置</w:t>
            </w:r>
          </w:p>
        </w:tc>
        <w:tc>
          <w:tcPr>
            <w:tcW w:w="706" w:type="dxa"/>
            <w:vAlign w:val="center"/>
          </w:tcPr>
          <w:p w14:paraId="4A3BC691">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数量</w:t>
            </w:r>
          </w:p>
        </w:tc>
        <w:tc>
          <w:tcPr>
            <w:tcW w:w="592" w:type="dxa"/>
            <w:vAlign w:val="center"/>
          </w:tcPr>
          <w:p w14:paraId="25AAF768">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单位</w:t>
            </w:r>
          </w:p>
        </w:tc>
        <w:tc>
          <w:tcPr>
            <w:tcW w:w="866" w:type="dxa"/>
            <w:noWrap/>
            <w:vAlign w:val="center"/>
          </w:tcPr>
          <w:p w14:paraId="4CA34FA7">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单价（元）</w:t>
            </w:r>
          </w:p>
        </w:tc>
        <w:tc>
          <w:tcPr>
            <w:tcW w:w="866" w:type="dxa"/>
            <w:noWrap/>
            <w:vAlign w:val="center"/>
          </w:tcPr>
          <w:p w14:paraId="5B177F6C">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合计</w:t>
            </w:r>
          </w:p>
          <w:p w14:paraId="0A14EF6F">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（元）</w:t>
            </w:r>
          </w:p>
        </w:tc>
      </w:tr>
      <w:tr w14:paraId="6816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339" w:type="dxa"/>
            <w:vMerge w:val="restart"/>
            <w:noWrap/>
            <w:vAlign w:val="center"/>
          </w:tcPr>
          <w:p w14:paraId="54550C30">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1</w:t>
            </w:r>
          </w:p>
        </w:tc>
        <w:tc>
          <w:tcPr>
            <w:tcW w:w="2341" w:type="dxa"/>
            <w:vMerge w:val="restart"/>
            <w:vAlign w:val="center"/>
          </w:tcPr>
          <w:p w14:paraId="4AA55037">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医保业务综合服务终端（桌面式）</w:t>
            </w:r>
          </w:p>
        </w:tc>
        <w:tc>
          <w:tcPr>
            <w:tcW w:w="2850" w:type="dxa"/>
            <w:vMerge w:val="restart"/>
            <w:vAlign w:val="center"/>
          </w:tcPr>
          <w:p w14:paraId="30FDE457">
            <w:pPr>
              <w:widowControl/>
              <w:numPr>
                <w:ilvl w:val="0"/>
                <w:numId w:val="0"/>
              </w:numPr>
              <w:spacing w:line="360" w:lineRule="auto"/>
              <w:jc w:val="both"/>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具体详见医保业务综合服务终端（桌面式）技术参数</w:t>
            </w:r>
          </w:p>
        </w:tc>
        <w:tc>
          <w:tcPr>
            <w:tcW w:w="706" w:type="dxa"/>
            <w:vMerge w:val="restart"/>
            <w:vAlign w:val="center"/>
          </w:tcPr>
          <w:p w14:paraId="62F62BB9">
            <w:pPr>
              <w:widowControl/>
              <w:spacing w:line="360" w:lineRule="auto"/>
              <w:jc w:val="center"/>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45</w:t>
            </w:r>
          </w:p>
        </w:tc>
        <w:tc>
          <w:tcPr>
            <w:tcW w:w="592" w:type="dxa"/>
            <w:vMerge w:val="restart"/>
            <w:vAlign w:val="center"/>
          </w:tcPr>
          <w:p w14:paraId="16B3F131">
            <w:pPr>
              <w:widowControl/>
              <w:spacing w:line="360" w:lineRule="auto"/>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台</w:t>
            </w:r>
          </w:p>
        </w:tc>
        <w:tc>
          <w:tcPr>
            <w:tcW w:w="866" w:type="dxa"/>
            <w:vMerge w:val="restart"/>
            <w:noWrap/>
            <w:vAlign w:val="center"/>
          </w:tcPr>
          <w:p w14:paraId="2C0DA0DA">
            <w:pPr>
              <w:widowControl/>
              <w:spacing w:line="360" w:lineRule="auto"/>
              <w:jc w:val="center"/>
              <w:rPr>
                <w:rFonts w:hint="eastAsia" w:ascii="Times New Roman" w:hAnsi="Times New Roman" w:eastAsia="宋体" w:cs="Times New Roman"/>
                <w:kern w:val="0"/>
                <w:sz w:val="24"/>
                <w:szCs w:val="24"/>
                <w:lang w:val="en-US" w:eastAsia="zh-CN" w:bidi="ar-SA"/>
              </w:rPr>
            </w:pPr>
          </w:p>
        </w:tc>
        <w:tc>
          <w:tcPr>
            <w:tcW w:w="866" w:type="dxa"/>
            <w:vMerge w:val="restart"/>
            <w:noWrap/>
            <w:vAlign w:val="center"/>
          </w:tcPr>
          <w:p w14:paraId="6A4BE301">
            <w:pPr>
              <w:widowControl/>
              <w:spacing w:line="360" w:lineRule="auto"/>
              <w:jc w:val="center"/>
              <w:rPr>
                <w:rFonts w:hint="eastAsia" w:ascii="Times New Roman" w:hAnsi="Times New Roman" w:eastAsia="宋体" w:cs="Times New Roman"/>
                <w:kern w:val="0"/>
                <w:sz w:val="24"/>
                <w:szCs w:val="24"/>
                <w:lang w:val="en-US" w:eastAsia="zh-CN" w:bidi="ar-SA"/>
              </w:rPr>
            </w:pPr>
          </w:p>
        </w:tc>
      </w:tr>
      <w:tr w14:paraId="6BD8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9" w:type="dxa"/>
            <w:vMerge w:val="continue"/>
            <w:noWrap/>
            <w:vAlign w:val="center"/>
          </w:tcPr>
          <w:p w14:paraId="6A6C6CFC">
            <w:pPr>
              <w:jc w:val="center"/>
              <w:rPr>
                <w:rFonts w:ascii="宋体" w:hAnsi="宋体" w:eastAsia="宋体" w:cs="宋体"/>
                <w:szCs w:val="21"/>
              </w:rPr>
            </w:pPr>
          </w:p>
        </w:tc>
        <w:tc>
          <w:tcPr>
            <w:tcW w:w="2341" w:type="dxa"/>
            <w:vMerge w:val="continue"/>
            <w:vAlign w:val="center"/>
          </w:tcPr>
          <w:p w14:paraId="550ABDA3">
            <w:pPr>
              <w:jc w:val="center"/>
              <w:rPr>
                <w:rFonts w:ascii="宋体" w:hAnsi="宋体" w:eastAsia="宋体" w:cs="宋体"/>
                <w:szCs w:val="21"/>
              </w:rPr>
            </w:pPr>
          </w:p>
        </w:tc>
        <w:tc>
          <w:tcPr>
            <w:tcW w:w="2850" w:type="dxa"/>
            <w:vMerge w:val="continue"/>
            <w:vAlign w:val="center"/>
          </w:tcPr>
          <w:p w14:paraId="3EFF8ED1">
            <w:pPr>
              <w:jc w:val="center"/>
              <w:rPr>
                <w:rFonts w:ascii="宋体" w:hAnsi="宋体" w:eastAsia="宋体" w:cs="宋体"/>
                <w:szCs w:val="21"/>
              </w:rPr>
            </w:pPr>
          </w:p>
        </w:tc>
        <w:tc>
          <w:tcPr>
            <w:tcW w:w="706" w:type="dxa"/>
            <w:vMerge w:val="continue"/>
            <w:vAlign w:val="center"/>
          </w:tcPr>
          <w:p w14:paraId="2C30D709">
            <w:pPr>
              <w:jc w:val="center"/>
              <w:rPr>
                <w:rFonts w:ascii="宋体" w:hAnsi="宋体" w:eastAsia="宋体" w:cs="宋体"/>
                <w:szCs w:val="21"/>
              </w:rPr>
            </w:pPr>
          </w:p>
        </w:tc>
        <w:tc>
          <w:tcPr>
            <w:tcW w:w="592" w:type="dxa"/>
            <w:vMerge w:val="continue"/>
            <w:vAlign w:val="center"/>
          </w:tcPr>
          <w:p w14:paraId="7BA2A43C">
            <w:pPr>
              <w:jc w:val="center"/>
              <w:rPr>
                <w:rFonts w:ascii="宋体" w:hAnsi="宋体" w:eastAsia="宋体" w:cs="宋体"/>
                <w:szCs w:val="21"/>
              </w:rPr>
            </w:pPr>
          </w:p>
        </w:tc>
        <w:tc>
          <w:tcPr>
            <w:tcW w:w="866" w:type="dxa"/>
            <w:vMerge w:val="continue"/>
            <w:noWrap/>
            <w:vAlign w:val="center"/>
          </w:tcPr>
          <w:p w14:paraId="03578286">
            <w:pPr>
              <w:jc w:val="center"/>
              <w:rPr>
                <w:rFonts w:ascii="宋体" w:hAnsi="宋体" w:eastAsia="宋体" w:cs="宋体"/>
                <w:szCs w:val="21"/>
              </w:rPr>
            </w:pPr>
          </w:p>
        </w:tc>
        <w:tc>
          <w:tcPr>
            <w:tcW w:w="866" w:type="dxa"/>
            <w:vMerge w:val="continue"/>
            <w:noWrap/>
            <w:vAlign w:val="center"/>
          </w:tcPr>
          <w:p w14:paraId="59E2653E">
            <w:pPr>
              <w:jc w:val="center"/>
              <w:rPr>
                <w:rFonts w:ascii="宋体" w:hAnsi="宋体" w:eastAsia="宋体" w:cs="宋体"/>
                <w:szCs w:val="21"/>
              </w:rPr>
            </w:pPr>
          </w:p>
        </w:tc>
      </w:tr>
    </w:tbl>
    <w:p w14:paraId="584546F0">
      <w:pPr>
        <w:pStyle w:val="18"/>
        <w:spacing w:line="360" w:lineRule="auto"/>
        <w:ind w:firstLine="480" w:firstLineChars="200"/>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（二）软件需求</w:t>
      </w:r>
    </w:p>
    <w:tbl>
      <w:tblPr>
        <w:tblStyle w:val="14"/>
        <w:tblW w:w="5560"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17"/>
        <w:gridCol w:w="747"/>
        <w:gridCol w:w="904"/>
        <w:gridCol w:w="1342"/>
        <w:gridCol w:w="4781"/>
      </w:tblGrid>
      <w:tr w14:paraId="2ABC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14" w:type="pct"/>
            <w:vMerge w:val="restart"/>
            <w:shd w:val="clear" w:color="auto" w:fill="auto"/>
            <w:noWrap/>
            <w:vAlign w:val="center"/>
          </w:tcPr>
          <w:p w14:paraId="00E01166">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序号</w:t>
            </w:r>
          </w:p>
        </w:tc>
        <w:tc>
          <w:tcPr>
            <w:tcW w:w="483" w:type="pct"/>
            <w:vMerge w:val="restart"/>
            <w:shd w:val="clear" w:color="auto" w:fill="auto"/>
            <w:noWrap/>
            <w:vAlign w:val="center"/>
          </w:tcPr>
          <w:p w14:paraId="4729B09A">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建设大类</w:t>
            </w:r>
          </w:p>
        </w:tc>
        <w:tc>
          <w:tcPr>
            <w:tcW w:w="394" w:type="pct"/>
            <w:vMerge w:val="restart"/>
            <w:shd w:val="clear" w:color="auto" w:fill="auto"/>
            <w:noWrap/>
            <w:vAlign w:val="center"/>
          </w:tcPr>
          <w:p w14:paraId="7CA152F7">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一级模块</w:t>
            </w:r>
          </w:p>
        </w:tc>
        <w:tc>
          <w:tcPr>
            <w:tcW w:w="476" w:type="pct"/>
            <w:vMerge w:val="restart"/>
            <w:shd w:val="clear" w:color="auto" w:fill="auto"/>
            <w:noWrap/>
            <w:vAlign w:val="center"/>
          </w:tcPr>
          <w:p w14:paraId="24D43C05">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二级模块</w:t>
            </w:r>
          </w:p>
        </w:tc>
        <w:tc>
          <w:tcPr>
            <w:tcW w:w="707" w:type="pct"/>
            <w:vMerge w:val="restart"/>
            <w:shd w:val="clear" w:color="auto" w:fill="auto"/>
            <w:noWrap/>
            <w:vAlign w:val="center"/>
          </w:tcPr>
          <w:p w14:paraId="0F4BEFAA">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三级模块</w:t>
            </w:r>
          </w:p>
        </w:tc>
        <w:tc>
          <w:tcPr>
            <w:tcW w:w="2523" w:type="pct"/>
            <w:vMerge w:val="restart"/>
            <w:shd w:val="clear" w:color="auto" w:fill="auto"/>
            <w:noWrap/>
            <w:vAlign w:val="center"/>
          </w:tcPr>
          <w:p w14:paraId="44823B43">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功能描述</w:t>
            </w:r>
          </w:p>
        </w:tc>
      </w:tr>
      <w:tr w14:paraId="0C97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14" w:type="pct"/>
            <w:vMerge w:val="continue"/>
            <w:shd w:val="clear" w:color="auto" w:fill="auto"/>
            <w:noWrap/>
          </w:tcPr>
          <w:p w14:paraId="0AB3CF1D">
            <w:pPr>
              <w:spacing w:line="360" w:lineRule="auto"/>
              <w:ind w:firstLine="480" w:firstLineChars="200"/>
              <w:jc w:val="left"/>
              <w:rPr>
                <w:rFonts w:ascii="Times New Roman" w:hAnsi="Times New Roman" w:eastAsia="宋体" w:cs="Times New Roman"/>
                <w:color w:val="000000"/>
                <w:sz w:val="24"/>
              </w:rPr>
            </w:pPr>
          </w:p>
        </w:tc>
        <w:tc>
          <w:tcPr>
            <w:tcW w:w="483" w:type="pct"/>
            <w:vMerge w:val="continue"/>
            <w:shd w:val="clear" w:color="auto" w:fill="auto"/>
            <w:noWrap/>
          </w:tcPr>
          <w:p w14:paraId="5885238C">
            <w:pPr>
              <w:spacing w:line="360" w:lineRule="auto"/>
              <w:ind w:firstLine="480" w:firstLineChars="200"/>
              <w:jc w:val="left"/>
              <w:rPr>
                <w:rFonts w:ascii="Times New Roman" w:hAnsi="Times New Roman" w:eastAsia="宋体" w:cs="Times New Roman"/>
                <w:color w:val="000000"/>
                <w:sz w:val="24"/>
              </w:rPr>
            </w:pPr>
          </w:p>
        </w:tc>
        <w:tc>
          <w:tcPr>
            <w:tcW w:w="394" w:type="pct"/>
            <w:vMerge w:val="continue"/>
            <w:shd w:val="clear" w:color="auto" w:fill="auto"/>
            <w:noWrap/>
          </w:tcPr>
          <w:p w14:paraId="148C8A70">
            <w:pPr>
              <w:spacing w:line="360" w:lineRule="auto"/>
              <w:ind w:firstLine="480" w:firstLineChars="200"/>
              <w:jc w:val="left"/>
              <w:rPr>
                <w:rFonts w:ascii="Times New Roman" w:hAnsi="Times New Roman" w:eastAsia="宋体" w:cs="Times New Roman"/>
                <w:color w:val="000000"/>
                <w:sz w:val="24"/>
              </w:rPr>
            </w:pPr>
          </w:p>
        </w:tc>
        <w:tc>
          <w:tcPr>
            <w:tcW w:w="476" w:type="pct"/>
            <w:vMerge w:val="continue"/>
            <w:shd w:val="clear" w:color="auto" w:fill="auto"/>
            <w:noWrap/>
          </w:tcPr>
          <w:p w14:paraId="5CE311E0">
            <w:pPr>
              <w:spacing w:line="360" w:lineRule="auto"/>
              <w:ind w:firstLine="480" w:firstLineChars="200"/>
              <w:jc w:val="left"/>
              <w:rPr>
                <w:rFonts w:ascii="Times New Roman" w:hAnsi="Times New Roman" w:eastAsia="宋体" w:cs="Times New Roman"/>
                <w:color w:val="000000"/>
                <w:sz w:val="24"/>
              </w:rPr>
            </w:pPr>
          </w:p>
        </w:tc>
        <w:tc>
          <w:tcPr>
            <w:tcW w:w="707" w:type="pct"/>
            <w:vMerge w:val="continue"/>
            <w:shd w:val="clear" w:color="auto" w:fill="auto"/>
            <w:noWrap/>
          </w:tcPr>
          <w:p w14:paraId="45D85561">
            <w:pPr>
              <w:spacing w:line="360" w:lineRule="auto"/>
              <w:ind w:firstLine="480" w:firstLineChars="200"/>
              <w:jc w:val="left"/>
              <w:rPr>
                <w:rFonts w:ascii="Times New Roman" w:hAnsi="Times New Roman" w:eastAsia="宋体" w:cs="Times New Roman"/>
                <w:color w:val="000000"/>
                <w:sz w:val="24"/>
              </w:rPr>
            </w:pPr>
          </w:p>
        </w:tc>
        <w:tc>
          <w:tcPr>
            <w:tcW w:w="2523" w:type="pct"/>
            <w:vMerge w:val="continue"/>
            <w:shd w:val="clear" w:color="auto" w:fill="auto"/>
            <w:noWrap/>
          </w:tcPr>
          <w:p w14:paraId="13CBBAC3">
            <w:pPr>
              <w:spacing w:line="360" w:lineRule="auto"/>
              <w:ind w:firstLine="480" w:firstLineChars="200"/>
              <w:jc w:val="left"/>
              <w:rPr>
                <w:rFonts w:ascii="Times New Roman" w:hAnsi="Times New Roman" w:eastAsia="宋体" w:cs="Times New Roman"/>
                <w:color w:val="000000"/>
                <w:sz w:val="24"/>
              </w:rPr>
            </w:pPr>
          </w:p>
        </w:tc>
      </w:tr>
      <w:tr w14:paraId="1606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shd w:val="clear" w:color="auto" w:fill="auto"/>
            <w:noWrap/>
            <w:vAlign w:val="center"/>
          </w:tcPr>
          <w:p w14:paraId="4A07925F">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1</w:t>
            </w:r>
          </w:p>
        </w:tc>
        <w:tc>
          <w:tcPr>
            <w:tcW w:w="483" w:type="pct"/>
            <w:vMerge w:val="restart"/>
            <w:shd w:val="clear" w:color="auto" w:fill="auto"/>
            <w:noWrap/>
            <w:vAlign w:val="center"/>
          </w:tcPr>
          <w:p w14:paraId="6BA79E29">
            <w:pPr>
              <w:widowControl/>
              <w:spacing w:line="360" w:lineRule="auto"/>
              <w:jc w:val="left"/>
              <w:textAlignment w:val="center"/>
              <w:rPr>
                <w:rFonts w:ascii="Times New Roman" w:hAnsi="Times New Roman" w:eastAsia="宋体" w:cs="Times New Roman"/>
                <w:color w:val="000000"/>
                <w:sz w:val="24"/>
              </w:rPr>
            </w:pPr>
            <w:bookmarkStart w:id="0" w:name="_Hlk208218934"/>
            <w:r>
              <w:rPr>
                <w:rFonts w:hint="eastAsia" w:ascii="Times New Roman" w:hAnsi="Times New Roman" w:eastAsia="宋体" w:cs="Times New Roman"/>
                <w:color w:val="000000"/>
                <w:sz w:val="24"/>
              </w:rPr>
              <w:t>医保业务综合服务软件</w:t>
            </w:r>
            <w:bookmarkEnd w:id="0"/>
          </w:p>
        </w:tc>
        <w:tc>
          <w:tcPr>
            <w:tcW w:w="394" w:type="pct"/>
            <w:vMerge w:val="restart"/>
            <w:shd w:val="clear" w:color="auto" w:fill="auto"/>
            <w:vAlign w:val="center"/>
          </w:tcPr>
          <w:p w14:paraId="56937940">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基础模块</w:t>
            </w:r>
          </w:p>
        </w:tc>
        <w:tc>
          <w:tcPr>
            <w:tcW w:w="476" w:type="pct"/>
            <w:vMerge w:val="restart"/>
            <w:shd w:val="clear" w:color="auto" w:fill="auto"/>
            <w:noWrap/>
            <w:vAlign w:val="center"/>
          </w:tcPr>
          <w:p w14:paraId="17275DBA">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认证模块</w:t>
            </w:r>
          </w:p>
        </w:tc>
        <w:tc>
          <w:tcPr>
            <w:tcW w:w="707" w:type="pct"/>
            <w:shd w:val="clear" w:color="auto" w:fill="auto"/>
            <w:noWrap/>
            <w:vAlign w:val="center"/>
          </w:tcPr>
          <w:p w14:paraId="169F4C01">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扫脸获取身份信息</w:t>
            </w:r>
          </w:p>
        </w:tc>
        <w:tc>
          <w:tcPr>
            <w:tcW w:w="2523" w:type="pct"/>
            <w:shd w:val="clear" w:color="auto" w:fill="auto"/>
            <w:noWrap/>
            <w:vAlign w:val="center"/>
          </w:tcPr>
          <w:p w14:paraId="6F7C4405">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支持通过桌面医保终端扫脸，获取人员个人信息及医保参保信息</w:t>
            </w:r>
          </w:p>
        </w:tc>
      </w:tr>
      <w:tr w14:paraId="2AAB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463B2F08">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kern w:val="0"/>
                <w:sz w:val="24"/>
                <w:lang w:bidi="ar"/>
              </w:rPr>
              <w:t>2</w:t>
            </w:r>
          </w:p>
        </w:tc>
        <w:tc>
          <w:tcPr>
            <w:tcW w:w="483" w:type="pct"/>
            <w:vMerge w:val="continue"/>
            <w:shd w:val="clear" w:color="auto" w:fill="auto"/>
            <w:noWrap/>
            <w:vAlign w:val="center"/>
          </w:tcPr>
          <w:p w14:paraId="3F80725C">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78BDB281">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7CB1EF06">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1CB4A5EA">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读取身份证获取身份信息</w:t>
            </w:r>
          </w:p>
        </w:tc>
        <w:tc>
          <w:tcPr>
            <w:tcW w:w="2523" w:type="pct"/>
            <w:shd w:val="clear" w:color="auto" w:fill="auto"/>
            <w:noWrap/>
            <w:vAlign w:val="center"/>
          </w:tcPr>
          <w:p w14:paraId="399789BC">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支持通过读取患者身份证，获取人员个人信息及医保参保信息</w:t>
            </w:r>
          </w:p>
        </w:tc>
      </w:tr>
      <w:tr w14:paraId="2309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shd w:val="clear" w:color="auto" w:fill="auto"/>
            <w:noWrap/>
            <w:vAlign w:val="center"/>
          </w:tcPr>
          <w:p w14:paraId="2C1C189E">
            <w:pPr>
              <w:widowControl/>
              <w:spacing w:line="360" w:lineRule="auto"/>
              <w:jc w:val="left"/>
              <w:textAlignment w:val="center"/>
              <w:rPr>
                <w:rFonts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3</w:t>
            </w:r>
          </w:p>
        </w:tc>
        <w:tc>
          <w:tcPr>
            <w:tcW w:w="483" w:type="pct"/>
            <w:vMerge w:val="continue"/>
            <w:shd w:val="clear" w:color="auto" w:fill="auto"/>
            <w:noWrap/>
            <w:vAlign w:val="center"/>
          </w:tcPr>
          <w:p w14:paraId="4A4C084C">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5166B485">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303E9279">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25B462E4">
            <w:pPr>
              <w:widowControl/>
              <w:spacing w:line="360" w:lineRule="auto"/>
              <w:jc w:val="left"/>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读取电子医保凭证获取身份信息</w:t>
            </w:r>
          </w:p>
        </w:tc>
        <w:tc>
          <w:tcPr>
            <w:tcW w:w="2523" w:type="pct"/>
            <w:shd w:val="clear" w:color="auto" w:fill="auto"/>
            <w:noWrap/>
            <w:vAlign w:val="center"/>
          </w:tcPr>
          <w:p w14:paraId="351FEBFA">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支持通过读取解析医保电子凭证，获取人员个人信息及医保参保信息</w:t>
            </w:r>
          </w:p>
        </w:tc>
      </w:tr>
      <w:tr w14:paraId="64C8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6B9A36E2">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4</w:t>
            </w:r>
          </w:p>
        </w:tc>
        <w:tc>
          <w:tcPr>
            <w:tcW w:w="483" w:type="pct"/>
            <w:vMerge w:val="continue"/>
            <w:shd w:val="clear" w:color="auto" w:fill="auto"/>
            <w:noWrap/>
            <w:vAlign w:val="center"/>
          </w:tcPr>
          <w:p w14:paraId="78C91C73">
            <w:pPr>
              <w:spacing w:line="360" w:lineRule="auto"/>
              <w:jc w:val="left"/>
              <w:rPr>
                <w:rFonts w:ascii="Times New Roman" w:hAnsi="Times New Roman" w:eastAsia="宋体" w:cs="Times New Roman"/>
                <w:color w:val="000000"/>
                <w:sz w:val="24"/>
              </w:rPr>
            </w:pPr>
          </w:p>
        </w:tc>
        <w:tc>
          <w:tcPr>
            <w:tcW w:w="394" w:type="pct"/>
            <w:vMerge w:val="restart"/>
            <w:shd w:val="clear" w:color="auto" w:fill="auto"/>
            <w:vAlign w:val="center"/>
          </w:tcPr>
          <w:p w14:paraId="1D739861">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业务模块</w:t>
            </w:r>
          </w:p>
        </w:tc>
        <w:tc>
          <w:tcPr>
            <w:tcW w:w="476" w:type="pct"/>
            <w:vMerge w:val="restart"/>
            <w:shd w:val="clear" w:color="auto" w:fill="auto"/>
            <w:noWrap/>
            <w:vAlign w:val="center"/>
          </w:tcPr>
          <w:p w14:paraId="6A85DC88">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门诊业务</w:t>
            </w:r>
          </w:p>
        </w:tc>
        <w:tc>
          <w:tcPr>
            <w:tcW w:w="707" w:type="pct"/>
            <w:shd w:val="clear" w:color="auto" w:fill="auto"/>
            <w:noWrap/>
            <w:vAlign w:val="center"/>
          </w:tcPr>
          <w:p w14:paraId="043DD550">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门诊结算</w:t>
            </w:r>
          </w:p>
        </w:tc>
        <w:tc>
          <w:tcPr>
            <w:tcW w:w="2523" w:type="pct"/>
            <w:shd w:val="clear" w:color="auto" w:fill="auto"/>
            <w:noWrap/>
            <w:vAlign w:val="center"/>
          </w:tcPr>
          <w:p w14:paraId="7088642D">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对接院内HIS系统，通过医保扫脸终端认证，获取患者个人信息，查询患者院内门诊待缴清单，进行门诊费用线上联网结算、自费结算。</w:t>
            </w:r>
          </w:p>
          <w:p w14:paraId="3FF6A07B">
            <w:pPr>
              <w:numPr>
                <w:ilvl w:val="0"/>
                <w:numId w:val="2"/>
              </w:num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支持查询患者门诊代缴费用信息，包含药品名称、药品数量、药品单价等处方明细内容</w:t>
            </w:r>
          </w:p>
          <w:p w14:paraId="3815F410">
            <w:pPr>
              <w:numPr>
                <w:ilvl w:val="0"/>
                <w:numId w:val="2"/>
              </w:num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支持对接医保接口，进行普通门诊、自费、门诊慢性病等多类别处方合并结算。</w:t>
            </w:r>
          </w:p>
          <w:p w14:paraId="4256051F">
            <w:pPr>
              <w:numPr>
                <w:ilvl w:val="0"/>
                <w:numId w:val="2"/>
              </w:num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支持医保结算使用职工个账、共济账户</w:t>
            </w:r>
            <w:r>
              <w:rPr>
                <w:rFonts w:hint="eastAsia" w:ascii="Times New Roman" w:hAnsi="Times New Roman" w:eastAsia="宋体" w:cs="Times New Roman"/>
                <w:color w:val="000000"/>
                <w:sz w:val="24"/>
                <w:lang w:eastAsia="zh-CN"/>
              </w:rPr>
              <w:t>、</w:t>
            </w:r>
            <w:r>
              <w:rPr>
                <w:rFonts w:hint="eastAsia" w:ascii="Times New Roman" w:hAnsi="Times New Roman" w:eastAsia="宋体" w:cs="Times New Roman"/>
                <w:color w:val="000000"/>
                <w:sz w:val="24"/>
              </w:rPr>
              <w:t>医保钱包支付结算。</w:t>
            </w:r>
          </w:p>
        </w:tc>
      </w:tr>
      <w:tr w14:paraId="740E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32E5F874">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5</w:t>
            </w:r>
          </w:p>
        </w:tc>
        <w:tc>
          <w:tcPr>
            <w:tcW w:w="483" w:type="pct"/>
            <w:vMerge w:val="continue"/>
            <w:shd w:val="clear" w:color="auto" w:fill="auto"/>
            <w:noWrap/>
            <w:vAlign w:val="center"/>
          </w:tcPr>
          <w:p w14:paraId="1A0FD38C">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6A45F2D4">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656D7549">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2FD95E3D">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门诊医生签到 /签退</w:t>
            </w:r>
          </w:p>
        </w:tc>
        <w:tc>
          <w:tcPr>
            <w:tcW w:w="2523" w:type="pct"/>
            <w:shd w:val="clear" w:color="auto" w:fill="auto"/>
            <w:noWrap/>
            <w:vAlign w:val="center"/>
          </w:tcPr>
          <w:p w14:paraId="371A64E2">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支持坐诊医生进行签到，医保终端通过查询当前医生签到信息，病人实现诊间加号。若医生完成签退，病人则无法进行加号。</w:t>
            </w:r>
          </w:p>
          <w:p w14:paraId="33302FE1">
            <w:pPr>
              <w:numPr>
                <w:ilvl w:val="0"/>
                <w:numId w:val="3"/>
              </w:num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支持通过扫脸、输入工号、身份证读取、电子医保凭证读取完成医生签到/签退</w:t>
            </w:r>
          </w:p>
        </w:tc>
      </w:tr>
      <w:tr w14:paraId="7264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3803B1E4">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6</w:t>
            </w:r>
          </w:p>
        </w:tc>
        <w:tc>
          <w:tcPr>
            <w:tcW w:w="483" w:type="pct"/>
            <w:vMerge w:val="continue"/>
            <w:shd w:val="clear" w:color="auto" w:fill="auto"/>
            <w:noWrap/>
            <w:vAlign w:val="center"/>
          </w:tcPr>
          <w:p w14:paraId="32FB8823">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551EFCA0">
            <w:pPr>
              <w:spacing w:line="360" w:lineRule="auto"/>
              <w:jc w:val="left"/>
              <w:rPr>
                <w:rFonts w:ascii="Times New Roman" w:hAnsi="Times New Roman" w:eastAsia="宋体" w:cs="Times New Roman"/>
                <w:color w:val="000000"/>
                <w:sz w:val="24"/>
              </w:rPr>
            </w:pPr>
          </w:p>
        </w:tc>
        <w:tc>
          <w:tcPr>
            <w:tcW w:w="476" w:type="pct"/>
            <w:shd w:val="clear" w:color="auto" w:fill="auto"/>
            <w:noWrap/>
            <w:vAlign w:val="center"/>
          </w:tcPr>
          <w:p w14:paraId="058FEBFC">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45931E23">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诊间加号</w:t>
            </w:r>
          </w:p>
        </w:tc>
        <w:tc>
          <w:tcPr>
            <w:tcW w:w="2523" w:type="pct"/>
            <w:shd w:val="clear" w:color="auto" w:fill="auto"/>
            <w:noWrap/>
            <w:vAlign w:val="center"/>
          </w:tcPr>
          <w:p w14:paraId="5065A9F4">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获取医生同意的前提下，患者通过查询当日医生坐诊信息，进行诊间加号。</w:t>
            </w:r>
          </w:p>
          <w:p w14:paraId="7F7C85CB">
            <w:pPr>
              <w:numPr>
                <w:ilvl w:val="0"/>
                <w:numId w:val="4"/>
              </w:num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支持绑定设备所在科室，仅对当前科室已经完成签到的医生进行门诊挂号</w:t>
            </w:r>
          </w:p>
          <w:p w14:paraId="6C4DF72A">
            <w:pPr>
              <w:numPr>
                <w:ilvl w:val="0"/>
                <w:numId w:val="4"/>
              </w:num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对接院内诊间挂号服务接口，与现有排队叫号系统实现串联。</w:t>
            </w:r>
          </w:p>
        </w:tc>
      </w:tr>
      <w:tr w14:paraId="3E44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35DDC56B">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7</w:t>
            </w:r>
          </w:p>
        </w:tc>
        <w:tc>
          <w:tcPr>
            <w:tcW w:w="483" w:type="pct"/>
            <w:vMerge w:val="continue"/>
            <w:shd w:val="clear" w:color="auto" w:fill="auto"/>
            <w:noWrap/>
            <w:vAlign w:val="center"/>
          </w:tcPr>
          <w:p w14:paraId="4B4FE0D9">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0A965473">
            <w:pPr>
              <w:spacing w:line="360" w:lineRule="auto"/>
              <w:jc w:val="left"/>
              <w:rPr>
                <w:rFonts w:ascii="Times New Roman" w:hAnsi="Times New Roman" w:eastAsia="宋体" w:cs="Times New Roman"/>
                <w:color w:val="000000"/>
                <w:sz w:val="24"/>
              </w:rPr>
            </w:pPr>
          </w:p>
        </w:tc>
        <w:tc>
          <w:tcPr>
            <w:tcW w:w="476" w:type="pct"/>
            <w:vMerge w:val="restart"/>
            <w:shd w:val="clear" w:color="auto" w:fill="auto"/>
            <w:noWrap/>
            <w:vAlign w:val="center"/>
          </w:tcPr>
          <w:p w14:paraId="0490428B">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住院业务</w:t>
            </w:r>
          </w:p>
        </w:tc>
        <w:tc>
          <w:tcPr>
            <w:tcW w:w="707" w:type="pct"/>
            <w:shd w:val="clear" w:color="auto" w:fill="auto"/>
            <w:noWrap/>
            <w:vAlign w:val="center"/>
          </w:tcPr>
          <w:p w14:paraId="66DEE3A8">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住院</w:t>
            </w:r>
            <w:r>
              <w:rPr>
                <w:rFonts w:hint="eastAsia" w:ascii="Times New Roman" w:hAnsi="Times New Roman" w:eastAsia="宋体" w:cs="Times New Roman"/>
                <w:color w:val="auto"/>
                <w:sz w:val="24"/>
                <w:lang w:val="en-US" w:eastAsia="zh-CN"/>
              </w:rPr>
              <w:t>预缴金</w:t>
            </w:r>
            <w:r>
              <w:rPr>
                <w:rFonts w:hint="eastAsia" w:ascii="Times New Roman" w:hAnsi="Times New Roman" w:eastAsia="宋体" w:cs="Times New Roman"/>
                <w:color w:val="auto"/>
                <w:sz w:val="24"/>
              </w:rPr>
              <w:t>缴纳</w:t>
            </w:r>
          </w:p>
        </w:tc>
        <w:tc>
          <w:tcPr>
            <w:tcW w:w="2523" w:type="pct"/>
            <w:shd w:val="clear" w:color="auto" w:fill="auto"/>
            <w:noWrap/>
            <w:vAlign w:val="center"/>
          </w:tcPr>
          <w:p w14:paraId="51828FD1">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支持查询患者当前在院信息（未办理出院结算），进行线上</w:t>
            </w:r>
            <w:r>
              <w:rPr>
                <w:rFonts w:hint="eastAsia" w:ascii="Times New Roman" w:hAnsi="Times New Roman" w:eastAsia="宋体" w:cs="Times New Roman"/>
                <w:color w:val="auto"/>
                <w:sz w:val="24"/>
                <w:lang w:val="en-US" w:eastAsia="zh-CN"/>
              </w:rPr>
              <w:t>预缴金</w:t>
            </w:r>
            <w:r>
              <w:rPr>
                <w:rFonts w:hint="eastAsia" w:ascii="Times New Roman" w:hAnsi="Times New Roman" w:eastAsia="宋体" w:cs="Times New Roman"/>
                <w:color w:val="auto"/>
                <w:sz w:val="24"/>
              </w:rPr>
              <w:t>缴纳。</w:t>
            </w:r>
          </w:p>
          <w:p w14:paraId="3947C53E">
            <w:pPr>
              <w:numPr>
                <w:ilvl w:val="0"/>
                <w:numId w:val="5"/>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支持通过扫脸、输入住院号、身份证读取、电子医保凭证获取患者在院信息;展示患者入院科室、入院时间、住院</w:t>
            </w:r>
            <w:r>
              <w:rPr>
                <w:rFonts w:hint="eastAsia" w:ascii="Times New Roman" w:hAnsi="Times New Roman" w:eastAsia="宋体" w:cs="Times New Roman"/>
                <w:color w:val="auto"/>
                <w:sz w:val="24"/>
                <w:lang w:val="en-US" w:eastAsia="zh-CN"/>
              </w:rPr>
              <w:t>预缴金</w:t>
            </w:r>
            <w:r>
              <w:rPr>
                <w:rFonts w:hint="eastAsia" w:ascii="Times New Roman" w:hAnsi="Times New Roman" w:eastAsia="宋体" w:cs="Times New Roman"/>
                <w:color w:val="auto"/>
                <w:sz w:val="24"/>
              </w:rPr>
              <w:t>余额，住院费用、患者姓名等信息</w:t>
            </w:r>
          </w:p>
          <w:p w14:paraId="24464F5A">
            <w:pPr>
              <w:numPr>
                <w:ilvl w:val="0"/>
                <w:numId w:val="5"/>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对接短信服务，完成住院</w:t>
            </w:r>
            <w:r>
              <w:rPr>
                <w:rFonts w:hint="eastAsia" w:ascii="Times New Roman" w:hAnsi="Times New Roman" w:eastAsia="宋体" w:cs="Times New Roman"/>
                <w:color w:val="auto"/>
                <w:sz w:val="24"/>
                <w:lang w:val="en-US" w:eastAsia="zh-CN"/>
              </w:rPr>
              <w:t>预缴金</w:t>
            </w:r>
            <w:r>
              <w:rPr>
                <w:rFonts w:hint="eastAsia" w:ascii="Times New Roman" w:hAnsi="Times New Roman" w:eastAsia="宋体" w:cs="Times New Roman"/>
                <w:color w:val="auto"/>
                <w:sz w:val="24"/>
              </w:rPr>
              <w:t>缴纳后发送缴费通知提醒患者。</w:t>
            </w:r>
          </w:p>
          <w:p w14:paraId="50367CCE">
            <w:pPr>
              <w:numPr>
                <w:ilvl w:val="0"/>
                <w:numId w:val="5"/>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缴费页面支持快捷金额输入和自定义输入缴费金额</w:t>
            </w:r>
          </w:p>
        </w:tc>
      </w:tr>
      <w:tr w14:paraId="1D0A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756B6015">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8</w:t>
            </w:r>
          </w:p>
        </w:tc>
        <w:tc>
          <w:tcPr>
            <w:tcW w:w="483" w:type="pct"/>
            <w:vMerge w:val="continue"/>
            <w:shd w:val="clear" w:color="auto" w:fill="auto"/>
            <w:noWrap/>
            <w:vAlign w:val="center"/>
          </w:tcPr>
          <w:p w14:paraId="6E7D257E">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732B018E">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648B48A2">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289FAB35">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住院</w:t>
            </w:r>
            <w:r>
              <w:rPr>
                <w:rFonts w:hint="eastAsia" w:ascii="Times New Roman" w:hAnsi="Times New Roman" w:eastAsia="宋体" w:cs="Times New Roman"/>
                <w:color w:val="auto"/>
                <w:sz w:val="24"/>
                <w:lang w:val="en-US" w:eastAsia="zh-CN"/>
              </w:rPr>
              <w:t>预缴金</w:t>
            </w:r>
            <w:r>
              <w:rPr>
                <w:rFonts w:hint="eastAsia" w:ascii="Times New Roman" w:hAnsi="Times New Roman" w:eastAsia="宋体" w:cs="Times New Roman"/>
                <w:color w:val="auto"/>
                <w:sz w:val="24"/>
              </w:rPr>
              <w:t>缴纳记录查询</w:t>
            </w:r>
          </w:p>
        </w:tc>
        <w:tc>
          <w:tcPr>
            <w:tcW w:w="2523" w:type="pct"/>
            <w:shd w:val="clear" w:color="auto" w:fill="auto"/>
            <w:noWrap/>
            <w:vAlign w:val="center"/>
          </w:tcPr>
          <w:p w14:paraId="313D4314">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患者可通过扫脸终端，查看当前在院医疗费用，</w:t>
            </w:r>
            <w:r>
              <w:rPr>
                <w:rFonts w:hint="eastAsia" w:ascii="Times New Roman" w:hAnsi="Times New Roman" w:eastAsia="宋体" w:cs="Times New Roman"/>
                <w:color w:val="auto"/>
                <w:sz w:val="24"/>
                <w:lang w:val="en-US" w:eastAsia="zh-CN"/>
              </w:rPr>
              <w:t>预缴金</w:t>
            </w:r>
            <w:r>
              <w:rPr>
                <w:rFonts w:hint="eastAsia" w:ascii="Times New Roman" w:hAnsi="Times New Roman" w:eastAsia="宋体" w:cs="Times New Roman"/>
                <w:color w:val="auto"/>
                <w:sz w:val="24"/>
              </w:rPr>
              <w:t>缴纳记录。</w:t>
            </w:r>
          </w:p>
        </w:tc>
      </w:tr>
      <w:tr w14:paraId="3770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75DC8729">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9</w:t>
            </w:r>
          </w:p>
        </w:tc>
        <w:tc>
          <w:tcPr>
            <w:tcW w:w="483" w:type="pct"/>
            <w:vMerge w:val="continue"/>
            <w:shd w:val="clear" w:color="auto" w:fill="auto"/>
            <w:noWrap/>
            <w:vAlign w:val="center"/>
          </w:tcPr>
          <w:p w14:paraId="5A78700E">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2C2E5EDE">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2BACB31E">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79361B46">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住院结算</w:t>
            </w:r>
          </w:p>
        </w:tc>
        <w:tc>
          <w:tcPr>
            <w:tcW w:w="2523" w:type="pct"/>
            <w:shd w:val="clear" w:color="auto" w:fill="auto"/>
            <w:noWrap/>
            <w:vAlign w:val="center"/>
          </w:tcPr>
          <w:p w14:paraId="055A452D">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对接院内HIS系统，通过医保扫脸终端认证，获取患者个人信息，查询患者未完成出院结算费用记录，进行住院费用线上联网结算、自费结算。</w:t>
            </w:r>
          </w:p>
          <w:p w14:paraId="31FD4F46">
            <w:pPr>
              <w:numPr>
                <w:ilvl w:val="0"/>
                <w:numId w:val="6"/>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支持患者通过扫脸、身份证、电子医保凭证读取患者未结算信息，由患者自由选择费用记录进行结算。</w:t>
            </w:r>
          </w:p>
          <w:p w14:paraId="0BC18FE4">
            <w:pPr>
              <w:numPr>
                <w:ilvl w:val="0"/>
                <w:numId w:val="6"/>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支持对接医保接口，进行住院医保结算。</w:t>
            </w:r>
          </w:p>
          <w:p w14:paraId="0F829AFE">
            <w:pPr>
              <w:numPr>
                <w:ilvl w:val="0"/>
                <w:numId w:val="6"/>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支持医保结算使用职工个账、共济账户支付结算。</w:t>
            </w:r>
          </w:p>
          <w:p w14:paraId="3CFED753">
            <w:pPr>
              <w:numPr>
                <w:ilvl w:val="0"/>
                <w:numId w:val="6"/>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支持住院</w:t>
            </w:r>
            <w:r>
              <w:rPr>
                <w:rFonts w:hint="eastAsia" w:ascii="Times New Roman" w:hAnsi="Times New Roman" w:eastAsia="宋体" w:cs="Times New Roman"/>
                <w:color w:val="auto"/>
                <w:sz w:val="24"/>
                <w:lang w:val="en-US" w:eastAsia="zh-CN"/>
              </w:rPr>
              <w:t>预缴金</w:t>
            </w:r>
            <w:r>
              <w:rPr>
                <w:rFonts w:hint="eastAsia" w:ascii="Times New Roman" w:hAnsi="Times New Roman" w:eastAsia="宋体" w:cs="Times New Roman"/>
                <w:color w:val="auto"/>
                <w:sz w:val="24"/>
              </w:rPr>
              <w:t>抵扣住院医保费用自付部分。</w:t>
            </w:r>
          </w:p>
        </w:tc>
      </w:tr>
      <w:tr w14:paraId="2994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3F3516DB">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10</w:t>
            </w:r>
          </w:p>
        </w:tc>
        <w:tc>
          <w:tcPr>
            <w:tcW w:w="483" w:type="pct"/>
            <w:vMerge w:val="continue"/>
            <w:shd w:val="clear" w:color="auto" w:fill="auto"/>
            <w:noWrap/>
            <w:vAlign w:val="center"/>
          </w:tcPr>
          <w:p w14:paraId="06611EB4">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00F698CC">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2E16D409">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59EF230E">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住院清单查询（日）</w:t>
            </w:r>
          </w:p>
        </w:tc>
        <w:tc>
          <w:tcPr>
            <w:tcW w:w="2523" w:type="pct"/>
            <w:shd w:val="clear" w:color="auto" w:fill="auto"/>
            <w:noWrap/>
            <w:vAlign w:val="center"/>
          </w:tcPr>
          <w:p w14:paraId="5A494227">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患者或家属可查询每日的住院费用清单，包括当日的药品费用、检查费用、治疗费用、护理费用等。</w:t>
            </w:r>
          </w:p>
          <w:p w14:paraId="7A61AE78">
            <w:pPr>
              <w:numPr>
                <w:ilvl w:val="0"/>
                <w:numId w:val="7"/>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支持查询历史住院费用明细</w:t>
            </w:r>
          </w:p>
          <w:p w14:paraId="27ADF53B">
            <w:pPr>
              <w:numPr>
                <w:ilvl w:val="0"/>
                <w:numId w:val="7"/>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支持汇总住院费用明细，分大类显示如：护理、治疗、西药、材料、检查等。</w:t>
            </w:r>
          </w:p>
        </w:tc>
      </w:tr>
      <w:tr w14:paraId="447D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1033D0CB">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11</w:t>
            </w:r>
          </w:p>
        </w:tc>
        <w:tc>
          <w:tcPr>
            <w:tcW w:w="483" w:type="pct"/>
            <w:vMerge w:val="continue"/>
            <w:shd w:val="clear" w:color="auto" w:fill="auto"/>
            <w:noWrap/>
            <w:vAlign w:val="center"/>
          </w:tcPr>
          <w:p w14:paraId="7E5DD3C5">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1BECBA79">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6343BD7F">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65719244">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入院登记（转医保）</w:t>
            </w:r>
          </w:p>
        </w:tc>
        <w:tc>
          <w:tcPr>
            <w:tcW w:w="2523" w:type="pct"/>
            <w:shd w:val="clear" w:color="auto" w:fill="auto"/>
            <w:noWrap/>
            <w:vAlign w:val="center"/>
          </w:tcPr>
          <w:p w14:paraId="23FF4B19">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患者通过扫脸终端办理入</w:t>
            </w:r>
            <w:r>
              <w:rPr>
                <w:rFonts w:hint="eastAsia" w:ascii="Times New Roman" w:hAnsi="Times New Roman" w:eastAsia="宋体" w:cs="Times New Roman"/>
                <w:color w:val="auto"/>
                <w:sz w:val="24"/>
                <w:lang w:val="en-US" w:eastAsia="zh-CN"/>
              </w:rPr>
              <w:t>科</w:t>
            </w:r>
            <w:r>
              <w:rPr>
                <w:rFonts w:hint="eastAsia" w:ascii="Times New Roman" w:hAnsi="Times New Roman" w:eastAsia="宋体" w:cs="Times New Roman"/>
                <w:color w:val="auto"/>
                <w:sz w:val="24"/>
              </w:rPr>
              <w:t>登记，支持患者选择住院费用类型，办理完成后同时完成医保入院登记。</w:t>
            </w:r>
          </w:p>
          <w:p w14:paraId="7C319DF3">
            <w:pPr>
              <w:numPr>
                <w:ilvl w:val="0"/>
                <w:numId w:val="8"/>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支持通过扫脸、</w:t>
            </w:r>
            <w:r>
              <w:rPr>
                <w:rFonts w:hint="eastAsia" w:ascii="Times New Roman" w:hAnsi="Times New Roman" w:eastAsia="宋体" w:cs="Times New Roman"/>
                <w:color w:val="auto"/>
                <w:sz w:val="24"/>
                <w:lang w:val="en-US" w:eastAsia="zh-CN"/>
              </w:rPr>
              <w:t>读</w:t>
            </w:r>
            <w:r>
              <w:rPr>
                <w:rFonts w:hint="eastAsia" w:ascii="Times New Roman" w:hAnsi="Times New Roman" w:eastAsia="宋体" w:cs="Times New Roman"/>
                <w:color w:val="auto"/>
                <w:sz w:val="24"/>
              </w:rPr>
              <w:t>身份证、</w:t>
            </w:r>
            <w:r>
              <w:rPr>
                <w:rFonts w:hint="eastAsia" w:ascii="Times New Roman" w:hAnsi="Times New Roman" w:eastAsia="宋体" w:cs="Times New Roman"/>
                <w:color w:val="auto"/>
                <w:sz w:val="24"/>
                <w:lang w:val="en-US" w:eastAsia="zh-CN"/>
              </w:rPr>
              <w:t>读</w:t>
            </w:r>
            <w:r>
              <w:rPr>
                <w:rFonts w:hint="eastAsia" w:ascii="Times New Roman" w:hAnsi="Times New Roman" w:eastAsia="宋体" w:cs="Times New Roman"/>
                <w:color w:val="auto"/>
                <w:sz w:val="24"/>
              </w:rPr>
              <w:t>电子医保凭证</w:t>
            </w:r>
            <w:r>
              <w:rPr>
                <w:rFonts w:hint="eastAsia" w:ascii="Times New Roman" w:hAnsi="Times New Roman" w:eastAsia="宋体" w:cs="Times New Roman"/>
                <w:color w:val="auto"/>
                <w:sz w:val="24"/>
                <w:lang w:val="en-US" w:eastAsia="zh-CN"/>
              </w:rPr>
              <w:t>等方式获取患者入院信息。</w:t>
            </w:r>
          </w:p>
          <w:p w14:paraId="2C65160D">
            <w:pPr>
              <w:numPr>
                <w:ilvl w:val="0"/>
                <w:numId w:val="8"/>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显示住院患者信息、科室医生信息及诊断信息，方便患者及护士确认。</w:t>
            </w:r>
          </w:p>
          <w:p w14:paraId="6AF5577A">
            <w:pPr>
              <w:numPr>
                <w:ilvl w:val="0"/>
                <w:numId w:val="8"/>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对接医保入院登记接口</w:t>
            </w:r>
          </w:p>
          <w:p w14:paraId="517A04FE">
            <w:pPr>
              <w:numPr>
                <w:ilvl w:val="0"/>
                <w:numId w:val="8"/>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对接院内HIS</w:t>
            </w:r>
            <w:r>
              <w:rPr>
                <w:rFonts w:hint="eastAsia" w:ascii="Times New Roman" w:hAnsi="Times New Roman" w:eastAsia="宋体" w:cs="Times New Roman"/>
                <w:color w:val="auto"/>
                <w:sz w:val="24"/>
                <w:lang w:val="en-US" w:eastAsia="zh-CN"/>
              </w:rPr>
              <w:t>系统、EMR系统</w:t>
            </w:r>
            <w:r>
              <w:rPr>
                <w:rFonts w:hint="eastAsia" w:ascii="Times New Roman" w:hAnsi="Times New Roman" w:eastAsia="宋体" w:cs="Times New Roman"/>
                <w:color w:val="auto"/>
                <w:sz w:val="24"/>
              </w:rPr>
              <w:t>，完成患者医保入院登记信息回传。</w:t>
            </w:r>
          </w:p>
        </w:tc>
      </w:tr>
      <w:tr w14:paraId="4D4A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shd w:val="clear" w:color="auto" w:fill="auto"/>
            <w:noWrap/>
            <w:vAlign w:val="center"/>
          </w:tcPr>
          <w:p w14:paraId="1D01592C">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12</w:t>
            </w:r>
          </w:p>
        </w:tc>
        <w:tc>
          <w:tcPr>
            <w:tcW w:w="483" w:type="pct"/>
            <w:vMerge w:val="continue"/>
            <w:shd w:val="clear" w:color="auto" w:fill="auto"/>
            <w:noWrap/>
            <w:vAlign w:val="center"/>
          </w:tcPr>
          <w:p w14:paraId="23745492">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77E151D7">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7E9CC5C6">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723BF7D5">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入科登记（病区签到）</w:t>
            </w:r>
          </w:p>
        </w:tc>
        <w:tc>
          <w:tcPr>
            <w:tcW w:w="2523" w:type="pct"/>
            <w:shd w:val="clear" w:color="auto" w:fill="auto"/>
            <w:noWrap/>
            <w:vAlign w:val="center"/>
          </w:tcPr>
          <w:p w14:paraId="6E9ABF00">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办理完成住院登记患者可在住院护士站通过扫脸终端完成住院签到，确认患者入住科室、房间号、床号。</w:t>
            </w:r>
          </w:p>
          <w:p w14:paraId="41913EEB">
            <w:pPr>
              <w:numPr>
                <w:ilvl w:val="0"/>
                <w:numId w:val="9"/>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支持通过扫脸、</w:t>
            </w:r>
            <w:r>
              <w:rPr>
                <w:rFonts w:hint="eastAsia" w:ascii="Times New Roman" w:hAnsi="Times New Roman" w:eastAsia="宋体" w:cs="Times New Roman"/>
                <w:color w:val="auto"/>
                <w:sz w:val="24"/>
                <w:lang w:val="en-US" w:eastAsia="zh-CN"/>
              </w:rPr>
              <w:t>读</w:t>
            </w:r>
            <w:r>
              <w:rPr>
                <w:rFonts w:hint="eastAsia" w:ascii="Times New Roman" w:hAnsi="Times New Roman" w:eastAsia="宋体" w:cs="Times New Roman"/>
                <w:color w:val="auto"/>
                <w:sz w:val="24"/>
              </w:rPr>
              <w:t>身份证、</w:t>
            </w:r>
            <w:r>
              <w:rPr>
                <w:rFonts w:hint="eastAsia" w:ascii="Times New Roman" w:hAnsi="Times New Roman" w:eastAsia="宋体" w:cs="Times New Roman"/>
                <w:color w:val="auto"/>
                <w:sz w:val="24"/>
                <w:lang w:val="en-US" w:eastAsia="zh-CN"/>
              </w:rPr>
              <w:t>读</w:t>
            </w:r>
            <w:r>
              <w:rPr>
                <w:rFonts w:hint="eastAsia" w:ascii="Times New Roman" w:hAnsi="Times New Roman" w:eastAsia="宋体" w:cs="Times New Roman"/>
                <w:color w:val="auto"/>
                <w:sz w:val="24"/>
              </w:rPr>
              <w:t>电子医保凭证</w:t>
            </w:r>
            <w:r>
              <w:rPr>
                <w:rFonts w:hint="eastAsia" w:ascii="Times New Roman" w:hAnsi="Times New Roman" w:eastAsia="宋体" w:cs="Times New Roman"/>
                <w:color w:val="auto"/>
                <w:sz w:val="24"/>
                <w:lang w:val="en-US" w:eastAsia="zh-CN"/>
              </w:rPr>
              <w:t>等方式获取患者</w:t>
            </w:r>
            <w:r>
              <w:rPr>
                <w:rFonts w:hint="eastAsia" w:ascii="Times New Roman" w:hAnsi="Times New Roman" w:eastAsia="宋体" w:cs="Times New Roman"/>
                <w:color w:val="auto"/>
                <w:sz w:val="24"/>
              </w:rPr>
              <w:t>入科信息。</w:t>
            </w:r>
          </w:p>
          <w:p w14:paraId="6563F258">
            <w:pPr>
              <w:numPr>
                <w:ilvl w:val="0"/>
                <w:numId w:val="9"/>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支持患者自主选择管床医生、入住床位。</w:t>
            </w:r>
          </w:p>
          <w:p w14:paraId="08571BB6">
            <w:pPr>
              <w:numPr>
                <w:ilvl w:val="0"/>
                <w:numId w:val="9"/>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设备与部署科室关联绑定，限制仅该病区患者能够进行所在科室入科登记。</w:t>
            </w:r>
          </w:p>
          <w:p w14:paraId="44D41E16">
            <w:pPr>
              <w:numPr>
                <w:ilvl w:val="0"/>
                <w:numId w:val="9"/>
              </w:num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对接院内床位信息系统，门诊医生系统完成患者入科登记信息回传</w:t>
            </w:r>
          </w:p>
        </w:tc>
      </w:tr>
      <w:tr w14:paraId="0E7A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3EABB74D">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13</w:t>
            </w:r>
          </w:p>
        </w:tc>
        <w:tc>
          <w:tcPr>
            <w:tcW w:w="483" w:type="pct"/>
            <w:vMerge w:val="continue"/>
            <w:shd w:val="clear" w:color="auto" w:fill="auto"/>
            <w:noWrap/>
            <w:vAlign w:val="center"/>
          </w:tcPr>
          <w:p w14:paraId="4CC4C2BA">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49B6E659">
            <w:pPr>
              <w:spacing w:line="360" w:lineRule="auto"/>
              <w:jc w:val="left"/>
              <w:rPr>
                <w:rFonts w:ascii="Times New Roman" w:hAnsi="Times New Roman" w:eastAsia="宋体" w:cs="Times New Roman"/>
                <w:color w:val="000000"/>
                <w:sz w:val="24"/>
              </w:rPr>
            </w:pPr>
          </w:p>
        </w:tc>
        <w:tc>
          <w:tcPr>
            <w:tcW w:w="476" w:type="pct"/>
            <w:vMerge w:val="restart"/>
            <w:shd w:val="clear" w:color="auto" w:fill="auto"/>
            <w:noWrap/>
            <w:vAlign w:val="center"/>
          </w:tcPr>
          <w:p w14:paraId="2E59473F">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信息查询模块</w:t>
            </w:r>
          </w:p>
        </w:tc>
        <w:tc>
          <w:tcPr>
            <w:tcW w:w="707" w:type="pct"/>
            <w:shd w:val="clear" w:color="auto" w:fill="auto"/>
            <w:noWrap/>
            <w:vAlign w:val="center"/>
          </w:tcPr>
          <w:p w14:paraId="3E77A5CB">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检查报告查询</w:t>
            </w:r>
          </w:p>
        </w:tc>
        <w:tc>
          <w:tcPr>
            <w:tcW w:w="2523" w:type="pct"/>
            <w:shd w:val="clear" w:color="auto" w:fill="auto"/>
            <w:noWrap/>
            <w:vAlign w:val="center"/>
          </w:tcPr>
          <w:p w14:paraId="030CD290">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支持患者通过扫脸、身份证、电子医保凭证</w:t>
            </w:r>
            <w:r>
              <w:rPr>
                <w:rFonts w:hint="eastAsia" w:ascii="Times New Roman" w:hAnsi="Times New Roman" w:eastAsia="宋体" w:cs="Times New Roman"/>
                <w:color w:val="auto"/>
                <w:sz w:val="24"/>
                <w:lang w:val="en-US" w:eastAsia="zh-CN"/>
              </w:rPr>
              <w:t>等方式</w:t>
            </w:r>
            <w:r>
              <w:rPr>
                <w:rFonts w:hint="eastAsia" w:ascii="Times New Roman" w:hAnsi="Times New Roman" w:eastAsia="宋体" w:cs="Times New Roman"/>
                <w:color w:val="auto"/>
                <w:sz w:val="24"/>
              </w:rPr>
              <w:t>实时查询本人院内检查报告。</w:t>
            </w:r>
          </w:p>
        </w:tc>
      </w:tr>
      <w:tr w14:paraId="2708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023424BE">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14</w:t>
            </w:r>
          </w:p>
        </w:tc>
        <w:tc>
          <w:tcPr>
            <w:tcW w:w="483" w:type="pct"/>
            <w:vMerge w:val="continue"/>
            <w:shd w:val="clear" w:color="auto" w:fill="auto"/>
            <w:noWrap/>
            <w:vAlign w:val="center"/>
          </w:tcPr>
          <w:p w14:paraId="5DF1471D">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736CDA8C">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0AC0DF44">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2504FBD3">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检验报告查询</w:t>
            </w:r>
          </w:p>
        </w:tc>
        <w:tc>
          <w:tcPr>
            <w:tcW w:w="2523" w:type="pct"/>
            <w:shd w:val="clear" w:color="auto" w:fill="auto"/>
            <w:noWrap/>
            <w:vAlign w:val="center"/>
          </w:tcPr>
          <w:p w14:paraId="6B893C41">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支持患者通过扫脸、身份证、电子医保凭证</w:t>
            </w:r>
            <w:r>
              <w:rPr>
                <w:rFonts w:hint="eastAsia" w:ascii="Times New Roman" w:hAnsi="Times New Roman" w:eastAsia="宋体" w:cs="Times New Roman"/>
                <w:color w:val="auto"/>
                <w:sz w:val="24"/>
                <w:lang w:val="en-US" w:eastAsia="zh-CN"/>
              </w:rPr>
              <w:t>等方式</w:t>
            </w:r>
            <w:r>
              <w:rPr>
                <w:rFonts w:hint="eastAsia" w:ascii="Times New Roman" w:hAnsi="Times New Roman" w:eastAsia="宋体" w:cs="Times New Roman"/>
                <w:color w:val="auto"/>
                <w:sz w:val="24"/>
              </w:rPr>
              <w:t>实时查询本人院内检验报告。</w:t>
            </w:r>
          </w:p>
        </w:tc>
      </w:tr>
      <w:tr w14:paraId="2995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0314FAF4">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15</w:t>
            </w:r>
          </w:p>
        </w:tc>
        <w:tc>
          <w:tcPr>
            <w:tcW w:w="483" w:type="pct"/>
            <w:vMerge w:val="continue"/>
            <w:shd w:val="clear" w:color="auto" w:fill="auto"/>
            <w:noWrap/>
            <w:vAlign w:val="center"/>
          </w:tcPr>
          <w:p w14:paraId="5F0A2B91">
            <w:pPr>
              <w:spacing w:line="360" w:lineRule="auto"/>
              <w:jc w:val="left"/>
              <w:rPr>
                <w:rFonts w:ascii="Times New Roman" w:hAnsi="Times New Roman" w:eastAsia="宋体" w:cs="Times New Roman"/>
                <w:color w:val="000000"/>
                <w:sz w:val="24"/>
              </w:rPr>
            </w:pPr>
          </w:p>
        </w:tc>
        <w:tc>
          <w:tcPr>
            <w:tcW w:w="394" w:type="pct"/>
            <w:vMerge w:val="restart"/>
            <w:shd w:val="clear" w:color="auto" w:fill="auto"/>
            <w:vAlign w:val="center"/>
          </w:tcPr>
          <w:p w14:paraId="024AC983">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支付模块</w:t>
            </w:r>
          </w:p>
        </w:tc>
        <w:tc>
          <w:tcPr>
            <w:tcW w:w="476" w:type="pct"/>
            <w:vMerge w:val="restart"/>
            <w:shd w:val="clear" w:color="auto" w:fill="auto"/>
            <w:noWrap/>
            <w:vAlign w:val="center"/>
          </w:tcPr>
          <w:p w14:paraId="74276A5F">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支付交易信息模块</w:t>
            </w:r>
          </w:p>
        </w:tc>
        <w:tc>
          <w:tcPr>
            <w:tcW w:w="707" w:type="pct"/>
            <w:shd w:val="clear" w:color="auto" w:fill="auto"/>
            <w:noWrap/>
            <w:vAlign w:val="center"/>
          </w:tcPr>
          <w:p w14:paraId="5873560C">
            <w:pPr>
              <w:spacing w:line="360" w:lineRule="auto"/>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获取支付二维码</w:t>
            </w:r>
          </w:p>
        </w:tc>
        <w:tc>
          <w:tcPr>
            <w:tcW w:w="2523" w:type="pct"/>
            <w:shd w:val="clear" w:color="auto" w:fill="auto"/>
            <w:noWrap/>
            <w:vAlign w:val="center"/>
          </w:tcPr>
          <w:p w14:paraId="03CB6EDA">
            <w:pPr>
              <w:spacing w:line="360" w:lineRule="auto"/>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与院内银行交易接口对接生成二维码供用户扫描付款。根据场景</w:t>
            </w:r>
            <w:r>
              <w:rPr>
                <w:rFonts w:hint="eastAsia" w:ascii="Times New Roman" w:hAnsi="Times New Roman" w:eastAsia="宋体" w:cs="Times New Roman"/>
                <w:color w:val="auto"/>
                <w:sz w:val="24"/>
                <w:highlight w:val="none"/>
                <w:lang w:val="en-US" w:eastAsia="zh-CN"/>
              </w:rPr>
              <w:t>生成</w:t>
            </w:r>
            <w:r>
              <w:rPr>
                <w:rFonts w:hint="eastAsia" w:ascii="Times New Roman" w:hAnsi="Times New Roman" w:eastAsia="宋体" w:cs="Times New Roman"/>
                <w:color w:val="auto"/>
                <w:sz w:val="24"/>
                <w:highlight w:val="none"/>
              </w:rPr>
              <w:t>不同的二维码</w:t>
            </w:r>
          </w:p>
          <w:p w14:paraId="5094D915">
            <w:pPr>
              <w:spacing w:line="360" w:lineRule="auto"/>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（1）一次性二维码：可供用户进行一次支付，支付成功后不能再次使用；</w:t>
            </w:r>
          </w:p>
          <w:p w14:paraId="654287EC">
            <w:pPr>
              <w:spacing w:line="360" w:lineRule="auto"/>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（2）带金额的固定二维码：用户扫描后可直接确认账单后付款，且可以多次重复使用；</w:t>
            </w:r>
          </w:p>
        </w:tc>
      </w:tr>
      <w:tr w14:paraId="6815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24083D15">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16</w:t>
            </w:r>
          </w:p>
        </w:tc>
        <w:tc>
          <w:tcPr>
            <w:tcW w:w="483" w:type="pct"/>
            <w:vMerge w:val="continue"/>
            <w:shd w:val="clear" w:color="auto" w:fill="auto"/>
            <w:noWrap/>
            <w:vAlign w:val="center"/>
          </w:tcPr>
          <w:p w14:paraId="1FBCD82D">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6B2E621D">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16D14BA2">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22E42B6F">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支付二维码关闭</w:t>
            </w:r>
          </w:p>
        </w:tc>
        <w:tc>
          <w:tcPr>
            <w:tcW w:w="2523" w:type="pct"/>
            <w:shd w:val="clear" w:color="auto" w:fill="auto"/>
            <w:noWrap/>
            <w:vAlign w:val="center"/>
          </w:tcPr>
          <w:p w14:paraId="2C103565">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当支付二维码的内容需要变更，且旧的二维码已经以实体形式发布时，安全起见，关闭旧的二维码，使之无效（支付超时场景）。</w:t>
            </w:r>
          </w:p>
        </w:tc>
      </w:tr>
      <w:tr w14:paraId="6BF3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7CED6EA9">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17</w:t>
            </w:r>
          </w:p>
        </w:tc>
        <w:tc>
          <w:tcPr>
            <w:tcW w:w="483" w:type="pct"/>
            <w:vMerge w:val="continue"/>
            <w:shd w:val="clear" w:color="auto" w:fill="auto"/>
            <w:noWrap/>
            <w:vAlign w:val="center"/>
          </w:tcPr>
          <w:p w14:paraId="36766018">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09563400">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22DD5997">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5817FE1E">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账单状态查询</w:t>
            </w:r>
          </w:p>
        </w:tc>
        <w:tc>
          <w:tcPr>
            <w:tcW w:w="2523" w:type="pct"/>
            <w:shd w:val="clear" w:color="auto" w:fill="auto"/>
            <w:noWrap/>
            <w:vAlign w:val="center"/>
          </w:tcPr>
          <w:p w14:paraId="7E22D726">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获取交易支付流水的相关信息查询，包含交易金额</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交易状态、交易时间等。</w:t>
            </w:r>
          </w:p>
        </w:tc>
      </w:tr>
      <w:tr w14:paraId="18E4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1CE56AD6">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18</w:t>
            </w:r>
          </w:p>
        </w:tc>
        <w:tc>
          <w:tcPr>
            <w:tcW w:w="483" w:type="pct"/>
            <w:vMerge w:val="continue"/>
            <w:shd w:val="clear" w:color="auto" w:fill="auto"/>
            <w:noWrap/>
            <w:vAlign w:val="center"/>
          </w:tcPr>
          <w:p w14:paraId="5FBE2826">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4FF09AE8">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34A273C6">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3F16A9C1">
            <w:pPr>
              <w:spacing w:line="360" w:lineRule="auto"/>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交易退款</w:t>
            </w:r>
          </w:p>
        </w:tc>
        <w:tc>
          <w:tcPr>
            <w:tcW w:w="2523" w:type="pct"/>
            <w:shd w:val="clear" w:color="auto" w:fill="auto"/>
            <w:noWrap/>
            <w:vAlign w:val="center"/>
          </w:tcPr>
          <w:p w14:paraId="2E30E7C4">
            <w:pPr>
              <w:spacing w:line="360" w:lineRule="auto"/>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当成功交易之后一段时间内，</w:t>
            </w:r>
            <w:r>
              <w:rPr>
                <w:rFonts w:hint="eastAsia" w:ascii="Times New Roman" w:hAnsi="Times New Roman" w:eastAsia="宋体" w:cs="Times New Roman"/>
                <w:color w:val="auto"/>
                <w:sz w:val="24"/>
                <w:highlight w:val="none"/>
                <w:lang w:val="en-US" w:eastAsia="zh-CN"/>
              </w:rPr>
              <w:t>由于各类原因</w:t>
            </w:r>
            <w:r>
              <w:rPr>
                <w:rFonts w:hint="eastAsia" w:ascii="Times New Roman" w:hAnsi="Times New Roman" w:eastAsia="宋体" w:cs="Times New Roman"/>
                <w:color w:val="auto"/>
                <w:sz w:val="24"/>
                <w:highlight w:val="none"/>
              </w:rPr>
              <w:t>需要退款时，退款请求验证成功之后，</w:t>
            </w:r>
            <w:r>
              <w:rPr>
                <w:rFonts w:hint="eastAsia" w:ascii="Times New Roman" w:hAnsi="Times New Roman" w:eastAsia="宋体" w:cs="Times New Roman"/>
                <w:color w:val="auto"/>
                <w:sz w:val="24"/>
                <w:highlight w:val="none"/>
                <w:lang w:val="en-US" w:eastAsia="zh-CN"/>
              </w:rPr>
              <w:t>可以</w:t>
            </w:r>
            <w:r>
              <w:rPr>
                <w:rFonts w:hint="eastAsia" w:ascii="Times New Roman" w:hAnsi="Times New Roman" w:eastAsia="宋体" w:cs="Times New Roman"/>
                <w:color w:val="auto"/>
                <w:sz w:val="24"/>
                <w:highlight w:val="none"/>
              </w:rPr>
              <w:t>将支付款退回。</w:t>
            </w:r>
          </w:p>
        </w:tc>
      </w:tr>
      <w:tr w14:paraId="0F74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4" w:type="pct"/>
            <w:shd w:val="clear" w:color="auto" w:fill="auto"/>
            <w:noWrap/>
            <w:vAlign w:val="center"/>
          </w:tcPr>
          <w:p w14:paraId="17831EE0">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19</w:t>
            </w:r>
          </w:p>
        </w:tc>
        <w:tc>
          <w:tcPr>
            <w:tcW w:w="483" w:type="pct"/>
            <w:vMerge w:val="continue"/>
            <w:shd w:val="clear" w:color="auto" w:fill="auto"/>
            <w:noWrap/>
            <w:vAlign w:val="center"/>
          </w:tcPr>
          <w:p w14:paraId="0D821B7C">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44F877D7">
            <w:pPr>
              <w:spacing w:line="360" w:lineRule="auto"/>
              <w:jc w:val="left"/>
              <w:rPr>
                <w:rFonts w:ascii="Times New Roman" w:hAnsi="Times New Roman" w:eastAsia="宋体" w:cs="Times New Roman"/>
                <w:color w:val="000000"/>
                <w:sz w:val="24"/>
              </w:rPr>
            </w:pPr>
          </w:p>
        </w:tc>
        <w:tc>
          <w:tcPr>
            <w:tcW w:w="476" w:type="pct"/>
            <w:vMerge w:val="continue"/>
            <w:shd w:val="clear" w:color="auto" w:fill="auto"/>
            <w:noWrap/>
            <w:vAlign w:val="center"/>
          </w:tcPr>
          <w:p w14:paraId="66CBEA56">
            <w:pPr>
              <w:spacing w:line="360" w:lineRule="auto"/>
              <w:jc w:val="left"/>
              <w:rPr>
                <w:rFonts w:ascii="Times New Roman" w:hAnsi="Times New Roman" w:eastAsia="宋体" w:cs="Times New Roman"/>
                <w:color w:val="000000"/>
                <w:sz w:val="24"/>
              </w:rPr>
            </w:pPr>
          </w:p>
        </w:tc>
        <w:tc>
          <w:tcPr>
            <w:tcW w:w="707" w:type="pct"/>
            <w:shd w:val="clear" w:color="auto" w:fill="auto"/>
            <w:noWrap/>
            <w:vAlign w:val="center"/>
          </w:tcPr>
          <w:p w14:paraId="4B5E5378">
            <w:pPr>
              <w:spacing w:line="360" w:lineRule="auto"/>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支付交易通知</w:t>
            </w:r>
          </w:p>
        </w:tc>
        <w:tc>
          <w:tcPr>
            <w:tcW w:w="2523" w:type="pct"/>
            <w:shd w:val="clear" w:color="auto" w:fill="auto"/>
            <w:noWrap/>
            <w:vAlign w:val="center"/>
          </w:tcPr>
          <w:p w14:paraId="7797E9EB">
            <w:pPr>
              <w:spacing w:line="360" w:lineRule="auto"/>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支付完成后，</w:t>
            </w:r>
            <w:r>
              <w:rPr>
                <w:rFonts w:hint="eastAsia" w:ascii="Times New Roman" w:hAnsi="Times New Roman" w:eastAsia="宋体" w:cs="Times New Roman"/>
                <w:color w:val="auto"/>
                <w:sz w:val="24"/>
                <w:highlight w:val="none"/>
                <w:lang w:val="en-US" w:eastAsia="zh-CN"/>
              </w:rPr>
              <w:t>向院方指定地址发送支付成功通知。</w:t>
            </w:r>
          </w:p>
        </w:tc>
      </w:tr>
      <w:tr w14:paraId="23AE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16CEFE21">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20</w:t>
            </w:r>
          </w:p>
        </w:tc>
        <w:tc>
          <w:tcPr>
            <w:tcW w:w="483" w:type="pct"/>
            <w:vMerge w:val="continue"/>
            <w:shd w:val="clear" w:color="auto" w:fill="auto"/>
            <w:noWrap/>
            <w:vAlign w:val="center"/>
          </w:tcPr>
          <w:p w14:paraId="2B167741">
            <w:pPr>
              <w:spacing w:line="360" w:lineRule="auto"/>
              <w:jc w:val="left"/>
              <w:rPr>
                <w:rFonts w:ascii="Times New Roman" w:hAnsi="Times New Roman" w:eastAsia="宋体" w:cs="Times New Roman"/>
                <w:color w:val="000000"/>
                <w:sz w:val="24"/>
              </w:rPr>
            </w:pPr>
          </w:p>
        </w:tc>
        <w:tc>
          <w:tcPr>
            <w:tcW w:w="394" w:type="pct"/>
            <w:vMerge w:val="restart"/>
            <w:shd w:val="clear" w:color="auto" w:fill="auto"/>
            <w:vAlign w:val="center"/>
          </w:tcPr>
          <w:p w14:paraId="072DACBA">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院内接口对接模块</w:t>
            </w:r>
          </w:p>
        </w:tc>
        <w:tc>
          <w:tcPr>
            <w:tcW w:w="476" w:type="pct"/>
            <w:shd w:val="clear" w:color="auto" w:fill="auto"/>
            <w:noWrap/>
            <w:vAlign w:val="center"/>
          </w:tcPr>
          <w:p w14:paraId="4FD2E544">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门诊接口对接模块</w:t>
            </w:r>
          </w:p>
        </w:tc>
        <w:tc>
          <w:tcPr>
            <w:tcW w:w="707" w:type="pct"/>
            <w:shd w:val="clear" w:color="auto" w:fill="auto"/>
            <w:noWrap/>
            <w:vAlign w:val="center"/>
          </w:tcPr>
          <w:p w14:paraId="08E2D277">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门诊信息接口对接</w:t>
            </w:r>
          </w:p>
        </w:tc>
        <w:tc>
          <w:tcPr>
            <w:tcW w:w="2523" w:type="pct"/>
            <w:shd w:val="clear" w:color="auto" w:fill="auto"/>
            <w:noWrap/>
            <w:vAlign w:val="center"/>
          </w:tcPr>
          <w:p w14:paraId="68173ED2">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扫脸终端业务功能需与院内HIS系统交互，获取院内信息及完成相关数据回传工作。门诊接口对接包括：门诊病人信息查询、医生挂号费信息获取、挂号减免人员及类型查询、挂号结算接口、门诊待缴费列表查询、门诊待缴费明细查询、门诊诊断查询、门诊自费结算、门诊医保结算</w:t>
            </w:r>
            <w:r>
              <w:rPr>
                <w:rFonts w:hint="eastAsia" w:ascii="Times New Roman" w:hAnsi="Times New Roman" w:eastAsia="宋体" w:cs="Times New Roman"/>
                <w:color w:val="auto"/>
                <w:sz w:val="24"/>
                <w:lang w:val="en-US" w:eastAsia="zh-CN"/>
              </w:rPr>
              <w:t>等</w:t>
            </w:r>
            <w:r>
              <w:rPr>
                <w:rFonts w:hint="eastAsia" w:ascii="Times New Roman" w:hAnsi="Times New Roman" w:eastAsia="宋体" w:cs="Times New Roman"/>
                <w:color w:val="auto"/>
                <w:sz w:val="24"/>
              </w:rPr>
              <w:t>。</w:t>
            </w:r>
          </w:p>
        </w:tc>
      </w:tr>
      <w:tr w14:paraId="7943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4" w:type="pct"/>
            <w:shd w:val="clear" w:color="auto" w:fill="auto"/>
            <w:noWrap/>
            <w:vAlign w:val="center"/>
          </w:tcPr>
          <w:p w14:paraId="7399D7F4">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21</w:t>
            </w:r>
          </w:p>
        </w:tc>
        <w:tc>
          <w:tcPr>
            <w:tcW w:w="483" w:type="pct"/>
            <w:vMerge w:val="continue"/>
            <w:shd w:val="clear" w:color="auto" w:fill="auto"/>
            <w:noWrap/>
            <w:vAlign w:val="center"/>
          </w:tcPr>
          <w:p w14:paraId="4E2F5C3A">
            <w:pPr>
              <w:spacing w:line="360" w:lineRule="auto"/>
              <w:jc w:val="left"/>
              <w:rPr>
                <w:rFonts w:ascii="Times New Roman" w:hAnsi="Times New Roman" w:eastAsia="宋体" w:cs="Times New Roman"/>
                <w:color w:val="000000"/>
                <w:sz w:val="24"/>
              </w:rPr>
            </w:pPr>
          </w:p>
        </w:tc>
        <w:tc>
          <w:tcPr>
            <w:tcW w:w="394" w:type="pct"/>
            <w:vMerge w:val="continue"/>
            <w:shd w:val="clear" w:color="auto" w:fill="auto"/>
            <w:vAlign w:val="center"/>
          </w:tcPr>
          <w:p w14:paraId="7265A818">
            <w:pPr>
              <w:spacing w:line="360" w:lineRule="auto"/>
              <w:jc w:val="left"/>
              <w:rPr>
                <w:rFonts w:ascii="Times New Roman" w:hAnsi="Times New Roman" w:eastAsia="宋体" w:cs="Times New Roman"/>
                <w:color w:val="000000"/>
                <w:sz w:val="24"/>
              </w:rPr>
            </w:pPr>
          </w:p>
        </w:tc>
        <w:tc>
          <w:tcPr>
            <w:tcW w:w="476" w:type="pct"/>
            <w:shd w:val="clear" w:color="auto" w:fill="auto"/>
            <w:noWrap/>
            <w:vAlign w:val="center"/>
          </w:tcPr>
          <w:p w14:paraId="2894B71A">
            <w:pPr>
              <w:spacing w:line="360" w:lineRule="auto"/>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住院接口对接模块</w:t>
            </w:r>
          </w:p>
        </w:tc>
        <w:tc>
          <w:tcPr>
            <w:tcW w:w="707" w:type="pct"/>
            <w:shd w:val="clear" w:color="auto" w:fill="auto"/>
            <w:noWrap/>
            <w:vAlign w:val="center"/>
          </w:tcPr>
          <w:p w14:paraId="2ED608D5">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住院信息接口对接</w:t>
            </w:r>
          </w:p>
        </w:tc>
        <w:tc>
          <w:tcPr>
            <w:tcW w:w="2523" w:type="pct"/>
            <w:shd w:val="clear" w:color="auto" w:fill="auto"/>
            <w:noWrap/>
            <w:vAlign w:val="center"/>
          </w:tcPr>
          <w:p w14:paraId="3ED11A81">
            <w:pPr>
              <w:spacing w:line="360" w:lineRule="auto"/>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扫脸终端业务功能需与院内HIS系统交互，获取院内信息</w:t>
            </w:r>
            <w:r>
              <w:rPr>
                <w:rFonts w:hint="eastAsia" w:ascii="Times New Roman" w:hAnsi="Times New Roman" w:eastAsia="宋体" w:cs="Times New Roman"/>
                <w:color w:val="auto"/>
                <w:sz w:val="24"/>
                <w:lang w:val="en-US" w:eastAsia="zh-CN"/>
              </w:rPr>
              <w:t>并</w:t>
            </w:r>
            <w:r>
              <w:rPr>
                <w:rFonts w:hint="eastAsia" w:ascii="Times New Roman" w:hAnsi="Times New Roman" w:eastAsia="宋体" w:cs="Times New Roman"/>
                <w:color w:val="auto"/>
                <w:sz w:val="24"/>
              </w:rPr>
              <w:t>完成相关数据回传工作。住院接口对接包括：住院病人信息查询、住院病人入院诊断、住院入科确认、医保入院登记回写、住院</w:t>
            </w:r>
            <w:r>
              <w:rPr>
                <w:rFonts w:hint="eastAsia" w:ascii="Times New Roman" w:hAnsi="Times New Roman" w:eastAsia="宋体" w:cs="Times New Roman"/>
                <w:color w:val="auto"/>
                <w:sz w:val="24"/>
                <w:lang w:val="en-US" w:eastAsia="zh-CN"/>
              </w:rPr>
              <w:t>预缴金</w:t>
            </w:r>
            <w:r>
              <w:rPr>
                <w:rFonts w:hint="eastAsia" w:ascii="Times New Roman" w:hAnsi="Times New Roman" w:eastAsia="宋体" w:cs="Times New Roman"/>
                <w:color w:val="auto"/>
                <w:sz w:val="24"/>
              </w:rPr>
              <w:t>充值、住院</w:t>
            </w:r>
            <w:r>
              <w:rPr>
                <w:rFonts w:hint="eastAsia" w:ascii="Times New Roman" w:hAnsi="Times New Roman" w:eastAsia="宋体" w:cs="Times New Roman"/>
                <w:color w:val="auto"/>
                <w:sz w:val="24"/>
                <w:lang w:val="en-US" w:eastAsia="zh-CN"/>
              </w:rPr>
              <w:t>预缴金</w:t>
            </w:r>
            <w:r>
              <w:rPr>
                <w:rFonts w:hint="eastAsia" w:ascii="Times New Roman" w:hAnsi="Times New Roman" w:eastAsia="宋体" w:cs="Times New Roman"/>
                <w:color w:val="auto"/>
                <w:sz w:val="24"/>
              </w:rPr>
              <w:t>查询、住院费用明细查询、住院医保结算、待入科患者查询、病区科室（统一）编码查询、科室空床信息查询</w:t>
            </w:r>
            <w:r>
              <w:rPr>
                <w:rFonts w:hint="eastAsia" w:ascii="Times New Roman" w:hAnsi="Times New Roman" w:eastAsia="宋体" w:cs="Times New Roman"/>
                <w:color w:val="auto"/>
                <w:sz w:val="24"/>
                <w:lang w:val="en-US" w:eastAsia="zh-CN"/>
              </w:rPr>
              <w:t>等</w:t>
            </w:r>
            <w:r>
              <w:rPr>
                <w:rFonts w:hint="eastAsia" w:ascii="Times New Roman" w:hAnsi="Times New Roman" w:eastAsia="宋体" w:cs="Times New Roman"/>
                <w:color w:val="auto"/>
                <w:sz w:val="24"/>
              </w:rPr>
              <w:t>。</w:t>
            </w:r>
          </w:p>
        </w:tc>
      </w:tr>
    </w:tbl>
    <w:p w14:paraId="10C83239">
      <w:pPr>
        <w:pStyle w:val="18"/>
        <w:spacing w:line="360" w:lineRule="auto"/>
        <w:ind w:firstLine="480" w:firstLineChars="200"/>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（三）医保业务综合服务终端（桌面式）技术参数要求</w:t>
      </w:r>
    </w:p>
    <w:tbl>
      <w:tblPr>
        <w:tblStyle w:val="14"/>
        <w:tblW w:w="5572"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05"/>
        <w:gridCol w:w="6541"/>
      </w:tblGrid>
      <w:tr w14:paraId="7B07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restart"/>
            <w:shd w:val="clear" w:color="auto" w:fill="auto"/>
            <w:noWrap/>
          </w:tcPr>
          <w:p w14:paraId="6D93BDF4">
            <w:pPr>
              <w:spacing w:line="360" w:lineRule="auto"/>
              <w:rPr>
                <w:rFonts w:ascii="Times New Roman" w:hAnsi="Times New Roman" w:eastAsia="宋体" w:cs="Times New Roman"/>
                <w:sz w:val="24"/>
              </w:rPr>
            </w:pPr>
            <w:r>
              <w:rPr>
                <w:rFonts w:hint="eastAsia" w:ascii="Times New Roman" w:hAnsi="Times New Roman" w:eastAsia="宋体" w:cs="Times New Roman"/>
                <w:sz w:val="24"/>
              </w:rPr>
              <w:t>序号</w:t>
            </w:r>
          </w:p>
        </w:tc>
        <w:tc>
          <w:tcPr>
            <w:tcW w:w="1108" w:type="pct"/>
            <w:vMerge w:val="restart"/>
            <w:shd w:val="clear" w:color="auto" w:fill="auto"/>
            <w:noWrap/>
          </w:tcPr>
          <w:p w14:paraId="2E5842C8">
            <w:pPr>
              <w:spacing w:line="360" w:lineRule="auto"/>
              <w:rPr>
                <w:rFonts w:ascii="Times New Roman" w:hAnsi="Times New Roman" w:eastAsia="宋体" w:cs="Times New Roman"/>
                <w:sz w:val="24"/>
              </w:rPr>
            </w:pPr>
            <w:r>
              <w:rPr>
                <w:rFonts w:hint="eastAsia" w:ascii="Times New Roman" w:hAnsi="Times New Roman" w:eastAsia="宋体" w:cs="Times New Roman"/>
                <w:sz w:val="24"/>
              </w:rPr>
              <w:t>产品名称</w:t>
            </w:r>
          </w:p>
        </w:tc>
        <w:tc>
          <w:tcPr>
            <w:tcW w:w="3443" w:type="pct"/>
            <w:vMerge w:val="restart"/>
            <w:shd w:val="clear" w:color="auto" w:fill="auto"/>
            <w:noWrap/>
          </w:tcPr>
          <w:p w14:paraId="67A6B98C">
            <w:pPr>
              <w:spacing w:line="360" w:lineRule="auto"/>
              <w:rPr>
                <w:rFonts w:ascii="Times New Roman" w:hAnsi="Times New Roman" w:eastAsia="宋体" w:cs="Times New Roman"/>
                <w:sz w:val="24"/>
              </w:rPr>
            </w:pPr>
            <w:r>
              <w:rPr>
                <w:rFonts w:hint="eastAsia" w:ascii="Times New Roman" w:hAnsi="Times New Roman" w:eastAsia="宋体" w:cs="Times New Roman"/>
                <w:sz w:val="24"/>
              </w:rPr>
              <w:t>主要技术参数</w:t>
            </w:r>
          </w:p>
        </w:tc>
      </w:tr>
      <w:tr w14:paraId="3DAE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48" w:type="pct"/>
            <w:vMerge w:val="continue"/>
            <w:shd w:val="clear" w:color="auto" w:fill="auto"/>
            <w:noWrap/>
          </w:tcPr>
          <w:p w14:paraId="4BF594DF">
            <w:pPr>
              <w:spacing w:line="360" w:lineRule="auto"/>
              <w:ind w:firstLine="480" w:firstLineChars="200"/>
              <w:rPr>
                <w:rFonts w:ascii="Times New Roman" w:hAnsi="Times New Roman" w:eastAsia="宋体" w:cs="Times New Roman"/>
                <w:sz w:val="24"/>
              </w:rPr>
            </w:pPr>
          </w:p>
        </w:tc>
        <w:tc>
          <w:tcPr>
            <w:tcW w:w="1108" w:type="pct"/>
            <w:vMerge w:val="continue"/>
            <w:shd w:val="clear" w:color="auto" w:fill="auto"/>
            <w:noWrap/>
          </w:tcPr>
          <w:p w14:paraId="4677A79C">
            <w:pPr>
              <w:spacing w:line="360" w:lineRule="auto"/>
              <w:ind w:firstLine="480" w:firstLineChars="200"/>
              <w:rPr>
                <w:rFonts w:ascii="Times New Roman" w:hAnsi="Times New Roman" w:eastAsia="宋体" w:cs="Times New Roman"/>
                <w:sz w:val="24"/>
              </w:rPr>
            </w:pPr>
          </w:p>
        </w:tc>
        <w:tc>
          <w:tcPr>
            <w:tcW w:w="3443" w:type="pct"/>
            <w:vMerge w:val="continue"/>
            <w:shd w:val="clear" w:color="auto" w:fill="auto"/>
            <w:noWrap/>
          </w:tcPr>
          <w:p w14:paraId="29E553FB">
            <w:pPr>
              <w:spacing w:line="360" w:lineRule="auto"/>
              <w:ind w:firstLine="480" w:firstLineChars="200"/>
              <w:rPr>
                <w:rFonts w:ascii="Times New Roman" w:hAnsi="Times New Roman" w:eastAsia="宋体" w:cs="Times New Roman"/>
                <w:sz w:val="24"/>
              </w:rPr>
            </w:pPr>
          </w:p>
        </w:tc>
      </w:tr>
      <w:tr w14:paraId="0342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restart"/>
            <w:shd w:val="clear" w:color="auto" w:fill="auto"/>
            <w:noWrap/>
            <w:vAlign w:val="center"/>
          </w:tcPr>
          <w:p w14:paraId="596D5CA8">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1</w:t>
            </w:r>
          </w:p>
        </w:tc>
        <w:tc>
          <w:tcPr>
            <w:tcW w:w="1108" w:type="pct"/>
            <w:vMerge w:val="restart"/>
            <w:shd w:val="clear" w:color="auto" w:fill="auto"/>
            <w:noWrap/>
            <w:vAlign w:val="center"/>
          </w:tcPr>
          <w:p w14:paraId="3DE52DEC">
            <w:pPr>
              <w:spacing w:line="360" w:lineRule="auto"/>
              <w:rPr>
                <w:rFonts w:ascii="Times New Roman" w:hAnsi="Times New Roman" w:eastAsia="宋体" w:cs="Times New Roman"/>
                <w:sz w:val="24"/>
              </w:rPr>
            </w:pPr>
            <w:r>
              <w:rPr>
                <w:rFonts w:hint="eastAsia" w:ascii="Times New Roman" w:hAnsi="Times New Roman" w:eastAsia="宋体" w:cs="Times New Roman"/>
                <w:sz w:val="24"/>
              </w:rPr>
              <w:t>医保业务综合服务终端（桌面式）</w:t>
            </w:r>
          </w:p>
        </w:tc>
        <w:tc>
          <w:tcPr>
            <w:tcW w:w="3443" w:type="pct"/>
            <w:shd w:val="clear" w:color="auto" w:fill="auto"/>
            <w:noWrap/>
            <w:vAlign w:val="center"/>
          </w:tcPr>
          <w:p w14:paraId="5A7DA660">
            <w:pPr>
              <w:spacing w:line="360" w:lineRule="auto"/>
              <w:rPr>
                <w:rFonts w:ascii="Times New Roman" w:hAnsi="Times New Roman" w:eastAsia="宋体" w:cs="Times New Roman"/>
                <w:sz w:val="24"/>
              </w:rPr>
            </w:pPr>
            <w:r>
              <w:rPr>
                <w:rFonts w:hint="eastAsia" w:ascii="Times New Roman" w:hAnsi="Times New Roman" w:eastAsia="宋体" w:cs="Times New Roman"/>
                <w:sz w:val="24"/>
              </w:rPr>
              <w:t>1.处理器模块：8核</w:t>
            </w:r>
            <w:r>
              <w:rPr>
                <w:rFonts w:hint="eastAsia" w:ascii="Times New Roman" w:hAnsi="Times New Roman" w:eastAsia="宋体" w:cs="Times New Roman"/>
                <w:sz w:val="24"/>
                <w:lang w:val="en-US" w:eastAsia="zh-CN"/>
              </w:rPr>
              <w:t>及以上，</w:t>
            </w:r>
            <w:r>
              <w:rPr>
                <w:rFonts w:hint="eastAsia" w:ascii="Times New Roman" w:hAnsi="Times New Roman" w:eastAsia="宋体" w:cs="Times New Roman"/>
                <w:sz w:val="24"/>
              </w:rPr>
              <w:t>主频1.8GHz及以上</w:t>
            </w:r>
          </w:p>
        </w:tc>
      </w:tr>
      <w:tr w14:paraId="0A54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634BBEF1">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412A312F">
            <w:pPr>
              <w:spacing w:line="360" w:lineRule="auto"/>
              <w:rPr>
                <w:rFonts w:ascii="Times New Roman" w:hAnsi="Times New Roman" w:eastAsia="宋体" w:cs="Times New Roman"/>
                <w:sz w:val="24"/>
              </w:rPr>
            </w:pPr>
          </w:p>
        </w:tc>
        <w:tc>
          <w:tcPr>
            <w:tcW w:w="3443" w:type="pct"/>
            <w:shd w:val="clear" w:color="auto" w:fill="auto"/>
            <w:noWrap/>
            <w:vAlign w:val="center"/>
          </w:tcPr>
          <w:p w14:paraId="4013C20B">
            <w:pPr>
              <w:spacing w:line="360" w:lineRule="auto"/>
              <w:rPr>
                <w:rFonts w:ascii="Times New Roman" w:hAnsi="Times New Roman" w:eastAsia="宋体" w:cs="Times New Roman"/>
                <w:sz w:val="24"/>
              </w:rPr>
            </w:pP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.存储模块：≥4GB RAM+32GB ROM</w:t>
            </w:r>
          </w:p>
        </w:tc>
      </w:tr>
      <w:tr w14:paraId="25AE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661C53D0">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4307A79E">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51818B35">
            <w:pPr>
              <w:spacing w:line="360" w:lineRule="auto"/>
              <w:rPr>
                <w:rFonts w:ascii="Times New Roman" w:hAnsi="Times New Roman" w:eastAsia="宋体" w:cs="Times New Roman"/>
                <w:sz w:val="24"/>
              </w:rPr>
            </w:pP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.显示器模块：触摸显示屏≥10寸，亮度可调，分辨率≥1280*800，提供相关产品彩页或技术白皮书</w:t>
            </w:r>
          </w:p>
        </w:tc>
      </w:tr>
      <w:tr w14:paraId="14F0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73C2201C">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7A154513">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67473F34">
            <w:pPr>
              <w:spacing w:line="360" w:lineRule="auto"/>
              <w:rPr>
                <w:rFonts w:ascii="Times New Roman" w:hAnsi="Times New Roman" w:eastAsia="宋体" w:cs="Times New Roman"/>
                <w:sz w:val="24"/>
              </w:rPr>
            </w:pPr>
            <w:r>
              <w:rPr>
                <w:rFonts w:hint="eastAsia" w:ascii="Times New Roman" w:hAnsi="Times New Roman" w:eastAsia="宋体" w:cs="Times New Roman"/>
                <w:sz w:val="24"/>
                <w:lang w:val="en-US" w:eastAsia="zh-CN"/>
              </w:rPr>
              <w:t>4</w:t>
            </w:r>
            <w:r>
              <w:rPr>
                <w:rFonts w:hint="eastAsia" w:ascii="Times New Roman" w:hAnsi="Times New Roman" w:eastAsia="宋体" w:cs="Times New Roman"/>
                <w:sz w:val="24"/>
              </w:rPr>
              <w:t>.摄像头模块：3D结构光摄像头、支持人脸活体检测</w:t>
            </w:r>
          </w:p>
        </w:tc>
      </w:tr>
      <w:tr w14:paraId="24D9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1D98C6FC">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4DA96F57">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0E8B7C3B">
            <w:pPr>
              <w:spacing w:line="360" w:lineRule="auto"/>
              <w:rPr>
                <w:rFonts w:ascii="Times New Roman" w:hAnsi="Times New Roman" w:eastAsia="宋体" w:cs="Times New Roman"/>
                <w:sz w:val="24"/>
              </w:rPr>
            </w:pP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rPr>
              <w:t>.通讯模块：支持VPN通讯协议，支持3G、4G无线通讯（SIM卡座≥1个，支持4G及以上全网通卡槽）</w:t>
            </w:r>
          </w:p>
        </w:tc>
      </w:tr>
      <w:tr w14:paraId="4DD2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52A367E1">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48C18E38">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39981BC2">
            <w:pPr>
              <w:spacing w:line="360" w:lineRule="auto"/>
              <w:rPr>
                <w:rFonts w:ascii="Times New Roman" w:hAnsi="Times New Roman" w:eastAsia="宋体" w:cs="Times New Roman"/>
                <w:sz w:val="24"/>
              </w:rPr>
            </w:pP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.安全模块：符合国密安全技术要求</w:t>
            </w:r>
          </w:p>
        </w:tc>
      </w:tr>
      <w:tr w14:paraId="1550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70575A7D">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75323133">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49E0005C">
            <w:pPr>
              <w:spacing w:line="360" w:lineRule="auto"/>
              <w:rPr>
                <w:rFonts w:ascii="Times New Roman" w:hAnsi="Times New Roman" w:eastAsia="宋体" w:cs="Times New Roman"/>
                <w:sz w:val="24"/>
              </w:rPr>
            </w:pPr>
            <w:r>
              <w:rPr>
                <w:rFonts w:hint="eastAsia" w:ascii="Times New Roman" w:hAnsi="Times New Roman" w:eastAsia="宋体" w:cs="Times New Roman"/>
                <w:sz w:val="24"/>
                <w:lang w:val="en-US" w:eastAsia="zh-CN"/>
              </w:rPr>
              <w:t>7</w:t>
            </w:r>
            <w:r>
              <w:rPr>
                <w:rFonts w:hint="eastAsia" w:ascii="Times New Roman" w:hAnsi="Times New Roman" w:eastAsia="宋体" w:cs="Times New Roman"/>
                <w:sz w:val="24"/>
              </w:rPr>
              <w:t>.物理位置模块：支持基于基站进行定位</w:t>
            </w:r>
          </w:p>
        </w:tc>
      </w:tr>
      <w:tr w14:paraId="0472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4527E3D9">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791C5D28">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02024FFF">
            <w:pPr>
              <w:spacing w:line="360" w:lineRule="auto"/>
              <w:rPr>
                <w:rFonts w:ascii="Times New Roman" w:hAnsi="Times New Roman" w:eastAsia="宋体" w:cs="Times New Roman"/>
                <w:sz w:val="24"/>
              </w:rPr>
            </w:pPr>
            <w:r>
              <w:rPr>
                <w:rFonts w:hint="eastAsia" w:ascii="Times New Roman" w:hAnsi="Times New Roman" w:eastAsia="宋体" w:cs="Times New Roman"/>
                <w:sz w:val="24"/>
                <w:lang w:val="en-US" w:eastAsia="zh-CN"/>
              </w:rPr>
              <w:t>8</w:t>
            </w:r>
            <w:r>
              <w:rPr>
                <w:rFonts w:hint="eastAsia" w:ascii="Times New Roman" w:hAnsi="Times New Roman" w:eastAsia="宋体" w:cs="Times New Roman"/>
                <w:sz w:val="24"/>
              </w:rPr>
              <w:t>.可选外接硬件模块：支持外接密码键盘，支持外接凭条打印机</w:t>
            </w:r>
          </w:p>
        </w:tc>
      </w:tr>
      <w:tr w14:paraId="314B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0BCE8618">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36808828">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2161FD6D">
            <w:pPr>
              <w:spacing w:line="360" w:lineRule="auto"/>
              <w:rPr>
                <w:rFonts w:ascii="Times New Roman" w:hAnsi="Times New Roman" w:eastAsia="宋体" w:cs="Times New Roman"/>
                <w:sz w:val="24"/>
              </w:rPr>
            </w:pPr>
            <w:r>
              <w:rPr>
                <w:rFonts w:hint="eastAsia" w:ascii="Times New Roman" w:hAnsi="Times New Roman" w:eastAsia="宋体" w:cs="Times New Roman"/>
                <w:sz w:val="24"/>
                <w:lang w:val="en-US" w:eastAsia="zh-CN"/>
              </w:rPr>
              <w:t>9</w:t>
            </w:r>
            <w:r>
              <w:rPr>
                <w:rFonts w:hint="eastAsia" w:ascii="Times New Roman" w:hAnsi="Times New Roman" w:eastAsia="宋体" w:cs="Times New Roman"/>
                <w:sz w:val="24"/>
              </w:rPr>
              <w:t>.喇叭模块：支持多媒体语音播报</w:t>
            </w:r>
          </w:p>
        </w:tc>
      </w:tr>
      <w:tr w14:paraId="3A35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00646800">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6FC11F64">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4E4CAFCC">
            <w:pPr>
              <w:spacing w:line="360" w:lineRule="auto"/>
              <w:rPr>
                <w:rFonts w:ascii="Times New Roman" w:hAnsi="Times New Roman" w:eastAsia="宋体" w:cs="Times New Roman"/>
                <w:sz w:val="24"/>
              </w:rPr>
            </w:pPr>
            <w:r>
              <w:rPr>
                <w:rFonts w:hint="eastAsia" w:ascii="Times New Roman" w:hAnsi="Times New Roman" w:eastAsia="宋体" w:cs="Times New Roman"/>
                <w:sz w:val="24"/>
              </w:rPr>
              <w:t>1</w:t>
            </w:r>
            <w:r>
              <w:rPr>
                <w:rFonts w:hint="eastAsia" w:ascii="Times New Roman" w:hAnsi="Times New Roman" w:eastAsia="宋体" w:cs="Times New Roman"/>
                <w:sz w:val="24"/>
                <w:lang w:val="en-US" w:eastAsia="zh-CN"/>
              </w:rPr>
              <w:t>0</w:t>
            </w:r>
            <w:r>
              <w:rPr>
                <w:rFonts w:hint="eastAsia" w:ascii="Times New Roman" w:hAnsi="Times New Roman" w:eastAsia="宋体" w:cs="Times New Roman"/>
                <w:sz w:val="24"/>
              </w:rPr>
              <w:t>.接口模块：具有不少于2个及以上的USB接口、1个RJ-45网络接口以及SIM 卡槽</w:t>
            </w:r>
          </w:p>
        </w:tc>
      </w:tr>
      <w:tr w14:paraId="6823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42DABE40">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6BCAFBC8">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09110F16">
            <w:pPr>
              <w:spacing w:line="360" w:lineRule="auto"/>
              <w:rPr>
                <w:rFonts w:ascii="Times New Roman" w:hAnsi="Times New Roman" w:eastAsia="宋体" w:cs="Times New Roman"/>
                <w:sz w:val="24"/>
              </w:rPr>
            </w:pPr>
            <w:r>
              <w:rPr>
                <w:rFonts w:hint="eastAsia" w:ascii="Times New Roman" w:hAnsi="Times New Roman" w:eastAsia="宋体" w:cs="Times New Roman"/>
                <w:sz w:val="24"/>
              </w:rPr>
              <w:t>1</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.非接触卡模块：支持非接触卡阅读能力</w:t>
            </w:r>
          </w:p>
        </w:tc>
      </w:tr>
      <w:tr w14:paraId="71F1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7002CEDA">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5377D3A6">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14D6EED0">
            <w:pPr>
              <w:spacing w:line="360" w:lineRule="auto"/>
              <w:rPr>
                <w:rFonts w:ascii="Times New Roman" w:hAnsi="Times New Roman" w:eastAsia="宋体" w:cs="Times New Roman"/>
                <w:sz w:val="24"/>
              </w:rPr>
            </w:pPr>
            <w:r>
              <w:rPr>
                <w:rFonts w:hint="eastAsia" w:ascii="Times New Roman" w:hAnsi="Times New Roman" w:eastAsia="宋体" w:cs="Times New Roman"/>
                <w:sz w:val="24"/>
              </w:rPr>
              <w:t>1</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.扫码模块：支持一维码、二维码识别，符合医保电子凭证规范</w:t>
            </w:r>
          </w:p>
        </w:tc>
      </w:tr>
      <w:tr w14:paraId="5449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367D27C3">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278175C2">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70DC7E1A">
            <w:pPr>
              <w:spacing w:line="360" w:lineRule="auto"/>
              <w:rPr>
                <w:rFonts w:ascii="Times New Roman" w:hAnsi="Times New Roman" w:eastAsia="宋体" w:cs="Times New Roman"/>
                <w:sz w:val="24"/>
              </w:rPr>
            </w:pPr>
            <w:r>
              <w:rPr>
                <w:rFonts w:hint="eastAsia" w:ascii="Times New Roman" w:hAnsi="Times New Roman" w:eastAsia="宋体" w:cs="Times New Roman"/>
                <w:sz w:val="24"/>
              </w:rPr>
              <w:t>1</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身份证模块：支持二代、三代身份证，外国人永久居住身份证信息读取</w:t>
            </w:r>
          </w:p>
        </w:tc>
      </w:tr>
      <w:tr w14:paraId="7DD7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shd w:val="clear" w:color="auto" w:fill="auto"/>
            <w:noWrap/>
            <w:vAlign w:val="center"/>
          </w:tcPr>
          <w:p w14:paraId="424B8B37">
            <w:pPr>
              <w:spacing w:line="360" w:lineRule="auto"/>
              <w:rPr>
                <w:rFonts w:ascii="Times New Roman" w:hAnsi="Times New Roman" w:eastAsia="宋体" w:cs="Times New Roman"/>
                <w:sz w:val="24"/>
              </w:rPr>
            </w:pPr>
          </w:p>
        </w:tc>
        <w:tc>
          <w:tcPr>
            <w:tcW w:w="1108" w:type="pct"/>
            <w:vMerge w:val="continue"/>
            <w:shd w:val="clear" w:color="auto" w:fill="auto"/>
            <w:noWrap/>
            <w:vAlign w:val="center"/>
          </w:tcPr>
          <w:p w14:paraId="12F95AEE">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1431939E">
            <w:pPr>
              <w:spacing w:line="360" w:lineRule="auto"/>
              <w:rPr>
                <w:rFonts w:ascii="Times New Roman" w:hAnsi="Times New Roman" w:eastAsia="宋体" w:cs="Times New Roman"/>
                <w:sz w:val="24"/>
              </w:rPr>
            </w:pPr>
            <w:r>
              <w:rPr>
                <w:rFonts w:hint="eastAsia" w:ascii="Times New Roman" w:hAnsi="Times New Roman" w:eastAsia="宋体" w:cs="Times New Roman"/>
                <w:sz w:val="24"/>
              </w:rPr>
              <w:t>1</w:t>
            </w:r>
            <w:r>
              <w:rPr>
                <w:rFonts w:hint="eastAsia" w:ascii="Times New Roman" w:hAnsi="Times New Roman" w:eastAsia="宋体" w:cs="Times New Roman"/>
                <w:sz w:val="24"/>
                <w:lang w:val="en-US" w:eastAsia="zh-CN"/>
              </w:rPr>
              <w:t>4</w:t>
            </w:r>
            <w:r>
              <w:rPr>
                <w:rFonts w:hint="eastAsia" w:ascii="Times New Roman" w:hAnsi="Times New Roman" w:eastAsia="宋体" w:cs="Times New Roman"/>
                <w:sz w:val="24"/>
              </w:rPr>
              <w:t>.投标产品整机通过国家医保局指定检测机构检测认证，投标人须提供所投产品的检测报告</w:t>
            </w:r>
          </w:p>
        </w:tc>
      </w:tr>
      <w:tr w14:paraId="25CA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8" w:type="pct"/>
            <w:vMerge w:val="continue"/>
            <w:tcBorders>
              <w:bottom w:val="single" w:color="auto" w:sz="4" w:space="0"/>
            </w:tcBorders>
            <w:shd w:val="clear" w:color="auto" w:fill="auto"/>
            <w:noWrap/>
            <w:vAlign w:val="center"/>
          </w:tcPr>
          <w:p w14:paraId="0F828122">
            <w:pPr>
              <w:spacing w:line="360" w:lineRule="auto"/>
              <w:rPr>
                <w:rFonts w:ascii="Times New Roman" w:hAnsi="Times New Roman" w:eastAsia="宋体" w:cs="Times New Roman"/>
                <w:sz w:val="24"/>
              </w:rPr>
            </w:pPr>
          </w:p>
        </w:tc>
        <w:tc>
          <w:tcPr>
            <w:tcW w:w="1108" w:type="pct"/>
            <w:vMerge w:val="continue"/>
            <w:tcBorders>
              <w:bottom w:val="single" w:color="auto" w:sz="4" w:space="0"/>
            </w:tcBorders>
            <w:shd w:val="clear" w:color="auto" w:fill="auto"/>
            <w:noWrap/>
            <w:vAlign w:val="center"/>
          </w:tcPr>
          <w:p w14:paraId="378F0BA5">
            <w:pPr>
              <w:spacing w:line="360" w:lineRule="auto"/>
              <w:rPr>
                <w:rFonts w:ascii="Times New Roman" w:hAnsi="Times New Roman" w:eastAsia="宋体" w:cs="Times New Roman"/>
                <w:sz w:val="24"/>
              </w:rPr>
            </w:pPr>
          </w:p>
        </w:tc>
        <w:tc>
          <w:tcPr>
            <w:tcW w:w="3443" w:type="pct"/>
            <w:tcBorders>
              <w:top w:val="single" w:color="auto" w:sz="4" w:space="0"/>
              <w:bottom w:val="single" w:color="auto" w:sz="4" w:space="0"/>
              <w:right w:val="single" w:color="auto" w:sz="4" w:space="0"/>
            </w:tcBorders>
            <w:shd w:val="clear" w:color="auto" w:fill="auto"/>
            <w:noWrap/>
            <w:vAlign w:val="center"/>
          </w:tcPr>
          <w:p w14:paraId="555B32C9">
            <w:pPr>
              <w:spacing w:line="360" w:lineRule="auto"/>
              <w:rPr>
                <w:rFonts w:ascii="Times New Roman" w:hAnsi="Times New Roman" w:eastAsia="宋体" w:cs="Times New Roman"/>
                <w:sz w:val="24"/>
              </w:rPr>
            </w:pPr>
            <w:r>
              <w:rPr>
                <w:rFonts w:hint="eastAsia" w:ascii="Times New Roman" w:hAnsi="Times New Roman" w:eastAsia="宋体" w:cs="Times New Roman"/>
                <w:sz w:val="24"/>
              </w:rPr>
              <w:t>1</w:t>
            </w: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rPr>
              <w:t>.投标设备须提供医保业务综合服务终端的3C或CQC证书或SRRC 证书。</w:t>
            </w:r>
          </w:p>
        </w:tc>
      </w:tr>
    </w:tbl>
    <w:p w14:paraId="563F940B">
      <w:pPr>
        <w:pStyle w:val="3"/>
        <w:numPr>
          <w:ilvl w:val="0"/>
          <w:numId w:val="0"/>
        </w:numPr>
        <w:spacing w:before="156" w:beforeLines="50" w:after="0" w:line="360" w:lineRule="auto"/>
        <w:rPr>
          <w:rFonts w:ascii="宋体" w:hAnsi="宋体" w:eastAsia="宋体" w:cs="Times New Roman"/>
          <w:kern w:val="0"/>
          <w:sz w:val="28"/>
          <w:szCs w:val="28"/>
        </w:rPr>
      </w:pPr>
      <w:r>
        <w:rPr>
          <w:rFonts w:hint="eastAsia" w:ascii="宋体" w:hAnsi="宋体" w:eastAsia="宋体"/>
          <w:sz w:val="28"/>
          <w:szCs w:val="28"/>
          <w:lang w:val="en-US" w:eastAsia="zh-CN"/>
        </w:rPr>
        <w:t>4</w:t>
      </w:r>
      <w:r>
        <w:rPr>
          <w:rFonts w:hint="eastAsia" w:ascii="宋体" w:hAnsi="宋体" w:eastAsia="宋体"/>
          <w:sz w:val="28"/>
          <w:szCs w:val="28"/>
        </w:rPr>
        <w:t>技术要求</w:t>
      </w:r>
    </w:p>
    <w:p w14:paraId="5A1E9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rPr>
        <w:t>1、投标人应具备较好的医疗信息化创新能力、开发能力和实施交付能力，并具备医疗信息化领域的质量管理、信息技术服务管理、信息安全管理等的全流程管理体系。</w:t>
      </w:r>
    </w:p>
    <w:p w14:paraId="3AF8EE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ascii="Times New Roman" w:hAnsi="Times New Roman" w:eastAsia="宋体" w:cs="Times New Roman (正文 CS 字体)"/>
          <w:sz w:val="24"/>
        </w:rPr>
        <w:t>2</w:t>
      </w:r>
      <w:r>
        <w:rPr>
          <w:rFonts w:hint="eastAsia" w:ascii="Times New Roman" w:hAnsi="Times New Roman" w:eastAsia="宋体" w:cs="Times New Roman (正文 CS 字体)"/>
          <w:sz w:val="24"/>
        </w:rPr>
        <w:t>、投标人应充分理解本次项目的建设内容和目标需求，提出符合医院实际应用需求的具有针对性的整体解决方案，并能对项目过程中的重难点做出分析，提出相应的技术应对方案并阐述自身优势。</w:t>
      </w:r>
    </w:p>
    <w:p w14:paraId="08AA2F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3</w:t>
      </w:r>
      <w:r>
        <w:rPr>
          <w:rFonts w:hint="eastAsia" w:ascii="Times New Roman" w:hAnsi="Times New Roman" w:eastAsia="宋体" w:cs="Times New Roman (正文 CS 字体)"/>
          <w:sz w:val="24"/>
        </w:rPr>
        <w:t>、本次项目投标人应充分考虑</w:t>
      </w:r>
      <w:r>
        <w:rPr>
          <w:rFonts w:hint="eastAsia" w:ascii="Times New Roman" w:hAnsi="Times New Roman" w:eastAsia="宋体" w:cs="Times New Roman (正文 CS 字体)"/>
          <w:sz w:val="24"/>
          <w:lang w:val="en-US" w:eastAsia="zh-CN"/>
        </w:rPr>
        <w:t>海南医科大学第二附属医院</w:t>
      </w:r>
      <w:r>
        <w:rPr>
          <w:rFonts w:hint="eastAsia" w:ascii="Times New Roman" w:hAnsi="Times New Roman" w:eastAsia="宋体" w:cs="Times New Roman (正文 CS 字体)"/>
          <w:sz w:val="24"/>
        </w:rPr>
        <w:t>院现有系统的数据继承问题，确保现有系统数据可以继续使用。</w:t>
      </w:r>
    </w:p>
    <w:p w14:paraId="7F2B19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4</w:t>
      </w:r>
      <w:r>
        <w:rPr>
          <w:rFonts w:hint="eastAsia" w:ascii="Times New Roman" w:hAnsi="Times New Roman" w:eastAsia="宋体" w:cs="Times New Roman (正文 CS 字体)"/>
          <w:sz w:val="24"/>
        </w:rPr>
        <w:t>、本次项目涉及的系统产生或利用的数据涉及到大量患者隐私，投标人应做好相应的信息安全保障设计。</w:t>
      </w:r>
    </w:p>
    <w:p w14:paraId="50E55E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5</w:t>
      </w:r>
      <w:r>
        <w:rPr>
          <w:rFonts w:hint="eastAsia" w:ascii="Times New Roman" w:hAnsi="Times New Roman" w:eastAsia="宋体" w:cs="Times New Roman (正文 CS 字体)"/>
          <w:sz w:val="24"/>
        </w:rPr>
        <w:t>、投标人应具备高性能医疗卫生软件的开发能力，投标产品应充分考虑到医院大业务量环境下的运行效率。</w:t>
      </w:r>
    </w:p>
    <w:p w14:paraId="3AC73F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6</w:t>
      </w:r>
      <w:r>
        <w:rPr>
          <w:rFonts w:hint="eastAsia" w:ascii="Times New Roman" w:hAnsi="Times New Roman" w:eastAsia="宋体" w:cs="Times New Roman (正文 CS 字体)"/>
          <w:sz w:val="24"/>
        </w:rPr>
        <w:t>、项目实施期间，如因政策变化或医院管理流程变更的原因，需要对系统进行相应的客户化修改，投标人须无条件满足。</w:t>
      </w:r>
    </w:p>
    <w:p w14:paraId="6336B3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7</w:t>
      </w:r>
      <w:r>
        <w:rPr>
          <w:rFonts w:hint="eastAsia" w:ascii="Times New Roman" w:hAnsi="Times New Roman" w:eastAsia="宋体" w:cs="Times New Roman (正文 CS 字体)"/>
          <w:sz w:val="24"/>
        </w:rPr>
        <w:t>、为确保项目交付后系统的稳定可靠运行，投标人中标交付后</w:t>
      </w:r>
      <w:r>
        <w:rPr>
          <w:rFonts w:hint="eastAsia" w:ascii="Times New Roman" w:hAnsi="Times New Roman" w:eastAsia="宋体" w:cs="Times New Roman (正文 CS 字体)"/>
          <w:sz w:val="24"/>
          <w:lang w:val="en-US" w:eastAsia="zh-CN"/>
        </w:rPr>
        <w:t>需</w:t>
      </w:r>
      <w:r>
        <w:rPr>
          <w:rFonts w:hint="eastAsia" w:ascii="Times New Roman" w:hAnsi="Times New Roman" w:eastAsia="宋体" w:cs="Times New Roman (正文 CS 字体)"/>
          <w:sz w:val="24"/>
        </w:rPr>
        <w:t>要提供专业的售后服务，投标人应具备较好的医院软件运维信息化管理能力和服务体系。</w:t>
      </w:r>
    </w:p>
    <w:p w14:paraId="70A6D4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lang w:val="en-US" w:eastAsia="zh-CN"/>
        </w:rPr>
      </w:pPr>
      <w:r>
        <w:rPr>
          <w:rFonts w:hint="eastAsia" w:ascii="Times New Roman" w:hAnsi="Times New Roman" w:eastAsia="宋体" w:cs="Times New Roman (正文 CS 字体)"/>
          <w:sz w:val="24"/>
          <w:lang w:val="en-US" w:eastAsia="zh-CN"/>
        </w:rPr>
        <w:t>8</w:t>
      </w:r>
      <w:r>
        <w:rPr>
          <w:rFonts w:hint="eastAsia" w:ascii="Times New Roman" w:hAnsi="Times New Roman" w:eastAsia="宋体" w:cs="Times New Roman (正文 CS 字体)"/>
          <w:sz w:val="24"/>
        </w:rPr>
        <w:t>、投标人在项目实施及服务过程中，应遵循知识产权管理体系做好文档管理工作，在项目验收时进行相关文档的移交，文档资料必须符合软件工程的相关</w:t>
      </w:r>
      <w:r>
        <w:rPr>
          <w:rFonts w:hint="eastAsia" w:ascii="Times New Roman" w:hAnsi="Times New Roman" w:eastAsia="宋体" w:cs="Times New Roman (正文 CS 字体)"/>
          <w:sz w:val="24"/>
          <w:lang w:val="en-US" w:eastAsia="zh-CN"/>
        </w:rPr>
        <w:t>要求，并提供明确的交付清单。</w:t>
      </w:r>
    </w:p>
    <w:p w14:paraId="3DE4FB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lang w:val="en-US" w:eastAsia="zh-CN"/>
        </w:rPr>
      </w:pPr>
      <w:r>
        <w:rPr>
          <w:rFonts w:hint="eastAsia" w:ascii="Times New Roman" w:hAnsi="Times New Roman" w:eastAsia="宋体" w:cs="Times New Roman (正文 CS 字体)"/>
          <w:sz w:val="24"/>
          <w:lang w:val="en-US" w:eastAsia="zh-CN"/>
        </w:rPr>
        <w:t>9、本次项目应遵循《中华人民共和国数据安全法》、《中华人民共和国网络安全法》、《中国人民共和国个人信息保护法》等标准规范文件要求进行建设，如以上法律法规、标准规范有发布新版本，依据最新版本执行。</w:t>
      </w:r>
    </w:p>
    <w:p w14:paraId="5A4D71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lang w:val="en-US" w:eastAsia="zh-CN"/>
        </w:rPr>
      </w:pPr>
      <w:r>
        <w:rPr>
          <w:rFonts w:hint="default" w:ascii="Times New Roman" w:hAnsi="Times New Roman" w:eastAsia="宋体" w:cs="Times New Roman (正文 CS 字体)"/>
          <w:sz w:val="24"/>
          <w:lang w:val="en-US" w:eastAsia="zh-CN"/>
        </w:rPr>
        <w:t>10</w:t>
      </w:r>
      <w:r>
        <w:rPr>
          <w:rFonts w:hint="eastAsia" w:ascii="Times New Roman" w:hAnsi="Times New Roman" w:eastAsia="宋体" w:cs="Times New Roman (正文 CS 字体)"/>
          <w:sz w:val="24"/>
          <w:lang w:val="en-US" w:eastAsia="zh-CN"/>
        </w:rPr>
        <w:t>、投标人应充分调研招标人现有业务系统的运行情况，评估与招标人现有业务系统数据对接方式及工作量，项目实施过程中产生的第三方接口费用由中标人承担。</w:t>
      </w:r>
    </w:p>
    <w:p w14:paraId="4CDC682E">
      <w:pPr>
        <w:pStyle w:val="18"/>
        <w:keepNext w:val="0"/>
        <w:keepLines w:val="0"/>
        <w:pageBreakBefore w:val="0"/>
        <w:kinsoku/>
        <w:wordWrap/>
        <w:overflowPunct/>
        <w:topLinePunct w:val="0"/>
        <w:autoSpaceDE/>
        <w:autoSpaceDN/>
        <w:bidi w:val="0"/>
        <w:adjustRightInd/>
        <w:spacing w:line="360" w:lineRule="auto"/>
        <w:ind w:firstLine="482" w:firstLineChars="200"/>
        <w:rPr>
          <w:rFonts w:hint="default" w:ascii="宋体" w:hAnsi="宋体" w:cs="宋体"/>
          <w:b/>
          <w:color w:val="auto"/>
          <w:sz w:val="24"/>
          <w:szCs w:val="24"/>
          <w:lang w:val="en-US" w:eastAsia="zh-CN"/>
        </w:rPr>
      </w:pPr>
      <w:r>
        <w:rPr>
          <w:rFonts w:hint="eastAsia" w:ascii="宋体" w:hAnsi="宋体" w:cs="宋体"/>
          <w:b/>
          <w:color w:val="auto"/>
          <w:sz w:val="24"/>
          <w:szCs w:val="24"/>
          <w:lang w:val="en-US" w:eastAsia="zh-CN"/>
        </w:rPr>
        <w:t>5安全保障</w:t>
      </w:r>
    </w:p>
    <w:p w14:paraId="569D1BA1">
      <w:pPr>
        <w:pStyle w:val="18"/>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000000"/>
          <w:sz w:val="24"/>
          <w:szCs w:val="24"/>
          <w:highlight w:val="none"/>
          <w:lang w:val="en-US" w:eastAsia="zh-CN"/>
        </w:rPr>
        <w:t>1、本次项目遵循</w:t>
      </w:r>
      <w:r>
        <w:rPr>
          <w:rFonts w:hint="eastAsia" w:ascii="Times New Roman" w:hAnsi="Times New Roman" w:eastAsia="宋体" w:cs="Times New Roman"/>
          <w:b w:val="0"/>
          <w:bCs w:val="0"/>
          <w:color w:val="000000"/>
          <w:sz w:val="24"/>
          <w:szCs w:val="24"/>
          <w:highlight w:val="none"/>
        </w:rPr>
        <w:t>《中华人民共和国数据安全法》、《中华人民共和国网络安</w:t>
      </w:r>
      <w:r>
        <w:rPr>
          <w:rFonts w:hint="eastAsia" w:ascii="Times New Roman" w:hAnsi="Times New Roman" w:eastAsia="宋体" w:cs="Times New Roman"/>
          <w:b w:val="0"/>
          <w:bCs w:val="0"/>
          <w:color w:val="auto"/>
          <w:sz w:val="24"/>
          <w:szCs w:val="24"/>
          <w:highlight w:val="none"/>
        </w:rPr>
        <w:t>全法》、《中国人民共和国个人信息保护法》等标准规范文件要求进行建设</w:t>
      </w:r>
      <w:r>
        <w:rPr>
          <w:rFonts w:hint="eastAsia" w:ascii="Times New Roman" w:hAnsi="Times New Roman" w:eastAsia="宋体" w:cs="Times New Roman"/>
          <w:b w:val="0"/>
          <w:bCs w:val="0"/>
          <w:color w:val="auto"/>
          <w:sz w:val="24"/>
          <w:szCs w:val="24"/>
          <w:highlight w:val="none"/>
          <w:lang w:eastAsia="zh-CN"/>
        </w:rPr>
        <w:t>。</w:t>
      </w:r>
    </w:p>
    <w:p w14:paraId="41499299">
      <w:pPr>
        <w:pStyle w:val="18"/>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中标人承诺，本次项目所交付的产品满足信息安全相关要求，且交付产品无软件缺陷和漏洞，如后续中标人交付产品被检出信息安全、软件缺陷和漏洞等相关问题，中标人终身无条件配合采购人进行整改，且整改费用已经包含在本项目金额内，中标人不再另行收费。</w:t>
      </w:r>
    </w:p>
    <w:p w14:paraId="2C1D98C6">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6包装、运输与保险</w:t>
      </w:r>
    </w:p>
    <w:p w14:paraId="3626663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1、投标人提供的所有设备应为原厂包装，能够防止产品在运输中损坏或变质。这类包装应采取防潮、防晒、防锈、防腐蚀、防震动及防止其它损坏的必要保护措施，从而保护其能够经受多次搬运、装卸及长途运输。投标人应承担因包装损坏或防护措施不当所造成任何损失的责任。每件包装箱内应附一份详细装箱清单和质量检验合格证书。</w:t>
      </w:r>
    </w:p>
    <w:p w14:paraId="54426AC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rPr>
      </w:pPr>
      <w:r>
        <w:rPr>
          <w:rFonts w:hint="eastAsia" w:ascii="宋体" w:hAnsi="宋体" w:eastAsia="宋体" w:cs="宋体"/>
          <w:kern w:val="2"/>
          <w:sz w:val="24"/>
          <w:szCs w:val="20"/>
          <w:lang w:val="en-US" w:eastAsia="zh-CN" w:bidi="ar"/>
        </w:rPr>
        <w:t>2、投标人负责安排运输工具，并支付运费，确保按期按质交货。投标人承担因运输、搬运过程中防护措施不当造成的任何损失。</w:t>
      </w:r>
    </w:p>
    <w:p w14:paraId="0C966391">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7服务及其他要求</w:t>
      </w:r>
    </w:p>
    <w:p w14:paraId="158C51D4">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7.1项目实施</w:t>
      </w:r>
    </w:p>
    <w:p w14:paraId="6EFE20B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color w:val="FF0000"/>
          <w:sz w:val="24"/>
          <w:szCs w:val="24"/>
        </w:rPr>
        <w:t>本项目工期</w:t>
      </w:r>
      <w:r>
        <w:rPr>
          <w:rFonts w:hint="eastAsia" w:ascii="Times New Roman" w:hAnsi="Times New Roman" w:eastAsia="宋体" w:cs="Times New Roman"/>
          <w:color w:val="FF0000"/>
          <w:sz w:val="24"/>
          <w:szCs w:val="24"/>
          <w:lang w:val="en-US" w:eastAsia="zh-CN"/>
        </w:rPr>
        <w:t>为30</w:t>
      </w:r>
      <w:r>
        <w:rPr>
          <w:rFonts w:ascii="Times New Roman" w:hAnsi="Times New Roman" w:eastAsia="宋体" w:cs="Times New Roman"/>
          <w:color w:val="FF0000"/>
          <w:sz w:val="24"/>
          <w:szCs w:val="24"/>
        </w:rPr>
        <w:t>个</w:t>
      </w:r>
      <w:r>
        <w:rPr>
          <w:rFonts w:hint="eastAsia" w:ascii="Times New Roman" w:hAnsi="Times New Roman" w:eastAsia="宋体" w:cs="Times New Roman"/>
          <w:color w:val="FF0000"/>
          <w:sz w:val="24"/>
          <w:szCs w:val="24"/>
        </w:rPr>
        <w:t>日历天</w:t>
      </w:r>
      <w:r>
        <w:rPr>
          <w:rFonts w:hint="eastAsia" w:ascii="Times New Roman" w:hAnsi="Times New Roman" w:eastAsia="宋体" w:cs="Times New Roman"/>
          <w:color w:val="FF0000"/>
          <w:sz w:val="24"/>
          <w:szCs w:val="24"/>
          <w:lang w:eastAsia="zh-CN"/>
        </w:rPr>
        <w:t>，</w:t>
      </w:r>
      <w:r>
        <w:rPr>
          <w:rFonts w:hint="eastAsia" w:ascii="Times New Roman" w:hAnsi="Times New Roman" w:eastAsia="宋体" w:cs="Times New Roman"/>
          <w:color w:val="auto"/>
          <w:sz w:val="24"/>
          <w:szCs w:val="24"/>
          <w:lang w:val="en-US" w:eastAsia="zh-CN"/>
        </w:rPr>
        <w:t>即投标人须在合同签订后30个日历天内，完成软硬件的供货、安装、调试等工作，确保交付物上线稳定试运行。</w:t>
      </w:r>
      <w:r>
        <w:rPr>
          <w:rFonts w:ascii="Times New Roman" w:hAnsi="Times New Roman" w:eastAsia="宋体" w:cs="Times New Roman"/>
          <w:color w:val="auto"/>
          <w:sz w:val="24"/>
          <w:szCs w:val="24"/>
        </w:rPr>
        <w:t>投标人应切实做好项目进度管理规划，在确保项目质量和安全的原则下，控制项</w:t>
      </w:r>
      <w:r>
        <w:rPr>
          <w:rFonts w:ascii="Times New Roman" w:hAnsi="Times New Roman" w:eastAsia="宋体" w:cs="Times New Roman"/>
          <w:sz w:val="24"/>
          <w:szCs w:val="24"/>
        </w:rPr>
        <w:t>目进度，确保项目建设按期完成并投入正常运行。</w:t>
      </w:r>
    </w:p>
    <w:p w14:paraId="644B94E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szCs w:val="24"/>
          <w:highlight w:val="none"/>
        </w:rPr>
        <w:t>项目实施期间，投标人应根据项目建设内容和进度需要，</w:t>
      </w:r>
      <w:r>
        <w:rPr>
          <w:rFonts w:hint="eastAsia" w:ascii="Times New Roman" w:hAnsi="Times New Roman" w:eastAsia="宋体" w:cs="Times New Roman"/>
          <w:sz w:val="24"/>
          <w:szCs w:val="24"/>
          <w:highlight w:val="none"/>
          <w:lang w:val="en-US" w:eastAsia="zh-CN"/>
        </w:rPr>
        <w:t>安排</w:t>
      </w:r>
      <w:r>
        <w:rPr>
          <w:rFonts w:hint="eastAsia" w:ascii="Times New Roman" w:hAnsi="Times New Roman" w:eastAsia="宋体" w:cs="Times New Roman"/>
          <w:sz w:val="24"/>
          <w:szCs w:val="24"/>
          <w:highlight w:val="none"/>
        </w:rPr>
        <w:t>具有一定资质能力水平的成员组成项目团队对</w:t>
      </w:r>
      <w:r>
        <w:rPr>
          <w:rFonts w:hint="eastAsia" w:ascii="Times New Roman" w:hAnsi="Times New Roman" w:eastAsia="宋体" w:cs="Times New Roman"/>
          <w:sz w:val="24"/>
          <w:szCs w:val="24"/>
          <w:highlight w:val="none"/>
          <w:lang w:val="en-US" w:eastAsia="zh-CN"/>
        </w:rPr>
        <w:t>项目</w:t>
      </w:r>
      <w:r>
        <w:rPr>
          <w:rFonts w:hint="eastAsia" w:ascii="Times New Roman" w:hAnsi="Times New Roman" w:eastAsia="宋体" w:cs="Times New Roman"/>
          <w:sz w:val="24"/>
          <w:szCs w:val="24"/>
          <w:highlight w:val="none"/>
        </w:rPr>
        <w:t>进行实施及服务。项目团队应配置合理且具有较为合理明确的分工，</w:t>
      </w:r>
      <w:r>
        <w:rPr>
          <w:rFonts w:hint="eastAsia" w:ascii="Times New Roman" w:hAnsi="Times New Roman" w:eastAsia="宋体" w:cs="Times New Roman"/>
          <w:sz w:val="24"/>
        </w:rPr>
        <w:t>应至少包含项目负责人、技术负责人、需求分析人员、软件测试人员等。</w:t>
      </w:r>
    </w:p>
    <w:p w14:paraId="0D16CEF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b w:val="0"/>
          <w:bCs w:val="0"/>
          <w:color w:val="000000"/>
          <w:sz w:val="24"/>
          <w:szCs w:val="24"/>
        </w:rPr>
        <w:t>在合同履行期间，</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对其派出人员的安全负全部责任。如</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人员在合同履行中发生事故的，</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应负责处理并承担责任。在合同履行期间，</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应始终具有合格的用工主体资格，应与派出的项目人员建立合法的劳动关系并履行相关职责。</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与</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及</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服务人员不构成劳务派遣关系。</w:t>
      </w:r>
    </w:p>
    <w:p w14:paraId="49F8787E">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7.2项目培训</w:t>
      </w:r>
    </w:p>
    <w:p w14:paraId="27C90768">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面向系统管理员、系统操作人员等不同群体</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投标人</w:t>
      </w:r>
      <w:r>
        <w:rPr>
          <w:rFonts w:hint="eastAsia" w:ascii="Times New Roman" w:hAnsi="Times New Roman" w:eastAsia="宋体" w:cs="Times New Roman"/>
          <w:sz w:val="24"/>
          <w:szCs w:val="24"/>
        </w:rPr>
        <w:t>应提供与本次项目相关的系统化、定制化和有针对性的培训。</w:t>
      </w:r>
    </w:p>
    <w:p w14:paraId="095BC488">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培训方式包含：</w:t>
      </w:r>
      <w:r>
        <w:rPr>
          <w:rFonts w:hint="eastAsia" w:ascii="Times New Roman" w:hAnsi="Times New Roman" w:eastAsia="宋体" w:cs="Times New Roman"/>
          <w:sz w:val="24"/>
          <w:szCs w:val="24"/>
        </w:rPr>
        <w:t>一对一培训、小班培训和集中培训等不同培训方式</w:t>
      </w:r>
      <w:r>
        <w:rPr>
          <w:rFonts w:hint="eastAsia" w:ascii="Times New Roman" w:hAnsi="Times New Roman" w:eastAsia="宋体" w:cs="Times New Roman"/>
          <w:sz w:val="24"/>
          <w:szCs w:val="24"/>
          <w:lang w:eastAsia="zh-CN"/>
        </w:rPr>
        <w:t>。</w:t>
      </w:r>
    </w:p>
    <w:p w14:paraId="520B07E7">
      <w:pPr>
        <w:keepNext w:val="0"/>
        <w:keepLines w:val="0"/>
        <w:pageBreakBefore w:val="0"/>
        <w:widowControl w:val="0"/>
        <w:suppressLineNumbers w:val="0"/>
        <w:kinsoku/>
        <w:wordWrap/>
        <w:overflowPunct/>
        <w:topLinePunct w:val="0"/>
        <w:autoSpaceDE/>
        <w:autoSpaceDN/>
        <w:bidi w:val="0"/>
        <w:spacing w:beforeAutospacing="0" w:afterAutospacing="0" w:line="360" w:lineRule="auto"/>
        <w:ind w:left="0" w:right="0" w:firstLine="480" w:firstLineChars="200"/>
        <w:jc w:val="both"/>
        <w:textAlignment w:val="auto"/>
        <w:rPr>
          <w:rFonts w:hint="eastAsia" w:ascii="Times New Roman" w:hAnsi="Times New Roman" w:eastAsia="宋体" w:cs="Times New Roman"/>
          <w:sz w:val="24"/>
          <w:szCs w:val="24"/>
        </w:rPr>
      </w:pPr>
      <w:r>
        <w:rPr>
          <w:rFonts w:hint="eastAsia" w:ascii="Times New Roman" w:hAnsi="Times New Roman" w:eastAsia="宋体" w:cs="Times New Roman"/>
          <w:b w:val="0"/>
          <w:kern w:val="2"/>
          <w:sz w:val="24"/>
          <w:szCs w:val="24"/>
          <w:highlight w:val="none"/>
          <w:lang w:val="en-US" w:eastAsia="zh-CN" w:bidi="ar"/>
        </w:rPr>
        <w:t>投标人确保在系统正式运行前，为用户培训至少3名合格的系统管理员。</w:t>
      </w:r>
    </w:p>
    <w:p w14:paraId="0771D359">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培训费用应已经包含在</w:t>
      </w:r>
      <w:r>
        <w:rPr>
          <w:rFonts w:hint="eastAsia" w:ascii="Times New Roman" w:hAnsi="Times New Roman" w:eastAsia="宋体" w:cs="Times New Roman"/>
          <w:sz w:val="24"/>
          <w:szCs w:val="24"/>
          <w:lang w:val="en-US" w:eastAsia="zh-CN"/>
        </w:rPr>
        <w:t>投标金额</w:t>
      </w:r>
      <w:r>
        <w:rPr>
          <w:rFonts w:hint="eastAsia" w:ascii="Times New Roman" w:hAnsi="Times New Roman" w:eastAsia="宋体" w:cs="Times New Roman"/>
          <w:sz w:val="24"/>
          <w:szCs w:val="24"/>
        </w:rPr>
        <w:t>中，</w:t>
      </w:r>
      <w:r>
        <w:rPr>
          <w:rFonts w:hint="eastAsia" w:ascii="Times New Roman" w:hAnsi="Times New Roman" w:eastAsia="宋体" w:cs="Times New Roman"/>
          <w:sz w:val="24"/>
          <w:szCs w:val="24"/>
          <w:lang w:val="en-US" w:eastAsia="zh-CN"/>
        </w:rPr>
        <w:t>采购人</w:t>
      </w:r>
      <w:r>
        <w:rPr>
          <w:rFonts w:hint="eastAsia" w:ascii="Times New Roman" w:hAnsi="Times New Roman" w:eastAsia="宋体" w:cs="Times New Roman"/>
          <w:sz w:val="24"/>
          <w:szCs w:val="24"/>
        </w:rPr>
        <w:t>不再另行付费。</w:t>
      </w:r>
    </w:p>
    <w:p w14:paraId="287572CB">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7.3售后服务</w:t>
      </w:r>
    </w:p>
    <w:p w14:paraId="51F9F719">
      <w:pPr>
        <w:pStyle w:val="10"/>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color w:val="FF0000"/>
          <w:sz w:val="24"/>
          <w:szCs w:val="24"/>
          <w:highlight w:val="none"/>
        </w:rPr>
        <w:t>本项目</w:t>
      </w:r>
      <w:r>
        <w:rPr>
          <w:rFonts w:hint="eastAsia" w:ascii="Times New Roman" w:hAnsi="Times New Roman" w:eastAsia="宋体" w:cs="Times New Roman"/>
          <w:b w:val="0"/>
          <w:color w:val="FF0000"/>
          <w:sz w:val="24"/>
          <w:szCs w:val="24"/>
          <w:highlight w:val="none"/>
          <w:lang w:val="en-US" w:eastAsia="zh-CN"/>
        </w:rPr>
        <w:t>软硬件各提供叁年的质保服务</w:t>
      </w:r>
      <w:r>
        <w:rPr>
          <w:rFonts w:hint="eastAsia" w:ascii="Times New Roman" w:hAnsi="Times New Roman" w:eastAsia="宋体" w:cs="Times New Roman"/>
          <w:b w:val="0"/>
          <w:sz w:val="24"/>
          <w:szCs w:val="24"/>
          <w:highlight w:val="none"/>
          <w:lang w:val="en-US" w:eastAsia="zh-CN"/>
        </w:rPr>
        <w:t>，质保服务费包含在本项目金额内，质保期从签订项目竣工报告之日起计算。质保</w:t>
      </w:r>
      <w:r>
        <w:rPr>
          <w:rFonts w:hint="eastAsia" w:ascii="Times New Roman" w:hAnsi="Times New Roman" w:eastAsia="宋体" w:cs="Times New Roman"/>
          <w:b w:val="0"/>
          <w:bCs w:val="0"/>
          <w:iCs w:val="0"/>
          <w:color w:val="000000"/>
          <w:sz w:val="24"/>
          <w:szCs w:val="24"/>
          <w:highlight w:val="none"/>
        </w:rPr>
        <w:t>期内所发生的一切费用包括系统技术支持</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系统维护或升级</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接口对接</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人员交通</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差旅服务等费用</w:t>
      </w:r>
      <w:r>
        <w:rPr>
          <w:rFonts w:hint="eastAsia" w:ascii="Times New Roman" w:hAnsi="Times New Roman" w:eastAsia="宋体" w:cs="Times New Roman"/>
          <w:b w:val="0"/>
          <w:bCs w:val="0"/>
          <w:iCs w:val="0"/>
          <w:color w:val="000000"/>
          <w:sz w:val="24"/>
          <w:szCs w:val="24"/>
          <w:highlight w:val="none"/>
          <w:lang w:val="en-US" w:eastAsia="zh-CN"/>
        </w:rPr>
        <w:t>均包含在投标金额内，采购人不再另行付费。</w:t>
      </w:r>
    </w:p>
    <w:p w14:paraId="358F5D33">
      <w:pPr>
        <w:pStyle w:val="10"/>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default" w:ascii="Times New Roman" w:hAnsi="Times New Roman" w:eastAsia="宋体" w:cs="Times New Roman"/>
          <w:b w:val="0"/>
          <w:color w:val="000000"/>
          <w:sz w:val="24"/>
          <w:szCs w:val="24"/>
          <w:highlight w:val="none"/>
          <w:lang w:val="en-US"/>
        </w:rPr>
      </w:pPr>
      <w:r>
        <w:rPr>
          <w:rFonts w:hint="eastAsia" w:ascii="Times New Roman" w:hAnsi="Times New Roman" w:eastAsia="宋体" w:cs="Times New Roman"/>
          <w:b w:val="0"/>
          <w:sz w:val="24"/>
          <w:szCs w:val="24"/>
          <w:highlight w:val="none"/>
          <w:lang w:val="en-US" w:eastAsia="zh-CN"/>
        </w:rPr>
        <w:t>质保期内，</w:t>
      </w:r>
      <w:r>
        <w:rPr>
          <w:rFonts w:hint="eastAsia" w:ascii="Times New Roman" w:hAnsi="Times New Roman" w:eastAsia="宋体" w:cs="Times New Roman"/>
          <w:b w:val="0"/>
          <w:color w:val="000000"/>
          <w:sz w:val="24"/>
          <w:szCs w:val="24"/>
          <w:highlight w:val="none"/>
          <w:lang w:val="en-US" w:eastAsia="zh-CN"/>
        </w:rPr>
        <w:t>投标人必须提供7*24小时技术支持热线电话（固话，手机）。当发</w:t>
      </w:r>
      <w:r>
        <w:rPr>
          <w:rFonts w:hint="eastAsia" w:ascii="Times New Roman" w:hAnsi="Times New Roman" w:eastAsia="宋体" w:cs="Times New Roman"/>
          <w:b w:val="0"/>
          <w:color w:val="000000"/>
          <w:sz w:val="24"/>
          <w:szCs w:val="24"/>
          <w:highlight w:val="none"/>
        </w:rPr>
        <w:t>生故障时，自报障时起算，1小时内</w:t>
      </w:r>
      <w:r>
        <w:rPr>
          <w:rFonts w:hint="eastAsia" w:ascii="Times New Roman" w:hAnsi="Times New Roman" w:eastAsia="宋体" w:cs="Times New Roman"/>
          <w:b w:val="0"/>
          <w:color w:val="000000"/>
          <w:sz w:val="24"/>
          <w:szCs w:val="24"/>
          <w:highlight w:val="none"/>
          <w:lang w:val="en-US" w:eastAsia="zh-CN"/>
        </w:rPr>
        <w:t>予以实质性</w:t>
      </w:r>
      <w:r>
        <w:rPr>
          <w:rFonts w:hint="eastAsia" w:ascii="Times New Roman" w:hAnsi="Times New Roman" w:eastAsia="宋体" w:cs="Times New Roman"/>
          <w:b w:val="0"/>
          <w:color w:val="000000"/>
          <w:sz w:val="24"/>
          <w:szCs w:val="24"/>
          <w:highlight w:val="none"/>
        </w:rPr>
        <w:t>响应，</w:t>
      </w:r>
      <w:r>
        <w:rPr>
          <w:rFonts w:hint="eastAsia" w:ascii="Times New Roman" w:hAnsi="Times New Roman" w:eastAsia="宋体" w:cs="Times New Roman"/>
          <w:b w:val="0"/>
          <w:kern w:val="2"/>
          <w:sz w:val="24"/>
          <w:szCs w:val="24"/>
          <w:highlight w:val="none"/>
          <w:lang w:val="en-US" w:eastAsia="zh-CN" w:bidi="ar"/>
        </w:rPr>
        <w:t>一般故障应于2小时内解决，严重故障应于12小时内解决。如技术服务人员非现场不能排除故障，除双方另有约定外，必须保证24小时内到达现场进行故障排除。</w:t>
      </w:r>
    </w:p>
    <w:p w14:paraId="2B19EC32">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质保期内，投标人提供：</w:t>
      </w:r>
    </w:p>
    <w:p w14:paraId="21AE0D72">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（一）硬件质保服务</w:t>
      </w:r>
    </w:p>
    <w:p w14:paraId="6BA88B55">
      <w:pPr>
        <w:pStyle w:val="10"/>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质保期内，投标人对本项目所有非人为损坏的设备予以免费维修，不能修复的应在收到报障信息后</w:t>
      </w:r>
      <w:r>
        <w:rPr>
          <w:rFonts w:hint="default" w:ascii="Times New Roman" w:hAnsi="Times New Roman" w:eastAsia="宋体" w:cs="Times New Roman"/>
          <w:b w:val="0"/>
          <w:sz w:val="24"/>
          <w:szCs w:val="24"/>
          <w:highlight w:val="none"/>
          <w:lang w:val="en-US" w:eastAsia="zh-CN"/>
        </w:rPr>
        <w:t>5</w:t>
      </w:r>
      <w:r>
        <w:rPr>
          <w:rFonts w:hint="eastAsia" w:ascii="Times New Roman" w:hAnsi="Times New Roman" w:eastAsia="宋体" w:cs="Times New Roman"/>
          <w:b w:val="0"/>
          <w:sz w:val="24"/>
          <w:szCs w:val="24"/>
          <w:highlight w:val="none"/>
          <w:lang w:val="en-US" w:eastAsia="zh-CN"/>
        </w:rPr>
        <w:t>个日历日内予以免费更换。</w:t>
      </w:r>
    </w:p>
    <w:p w14:paraId="6419E51D">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（二）软件质保服务</w:t>
      </w:r>
    </w:p>
    <w:p w14:paraId="68AA243E">
      <w:pPr>
        <w:keepNext w:val="0"/>
        <w:keepLines w:val="0"/>
        <w:pageBreakBefore w:val="0"/>
        <w:numPr>
          <w:ilvl w:val="0"/>
          <w:numId w:val="10"/>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系统</w:t>
      </w:r>
      <w:r>
        <w:rPr>
          <w:rFonts w:hint="eastAsia" w:ascii="Times New Roman" w:hAnsi="Times New Roman" w:eastAsia="宋体" w:cs="Times New Roman"/>
          <w:b w:val="0"/>
          <w:sz w:val="24"/>
          <w:szCs w:val="24"/>
          <w:highlight w:val="none"/>
        </w:rPr>
        <w:t>升级服务。</w:t>
      </w:r>
    </w:p>
    <w:p w14:paraId="32F4C7C8">
      <w:pPr>
        <w:keepNext w:val="0"/>
        <w:keepLines w:val="0"/>
        <w:pageBreakBefore w:val="0"/>
        <w:numPr>
          <w:ilvl w:val="0"/>
          <w:numId w:val="10"/>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用户技术支持和故障排除</w:t>
      </w:r>
      <w:r>
        <w:rPr>
          <w:rFonts w:hint="eastAsia" w:ascii="Times New Roman" w:hAnsi="Times New Roman" w:eastAsia="宋体" w:cs="Times New Roman"/>
          <w:b w:val="0"/>
          <w:sz w:val="24"/>
          <w:szCs w:val="24"/>
          <w:highlight w:val="none"/>
          <w:lang w:val="en-US" w:eastAsia="zh-CN"/>
        </w:rPr>
        <w:t>服务</w:t>
      </w:r>
      <w:r>
        <w:rPr>
          <w:rFonts w:hint="eastAsia" w:ascii="Times New Roman" w:hAnsi="Times New Roman" w:eastAsia="宋体" w:cs="Times New Roman"/>
          <w:b w:val="0"/>
          <w:sz w:val="24"/>
          <w:szCs w:val="24"/>
          <w:highlight w:val="none"/>
        </w:rPr>
        <w:t>。</w:t>
      </w:r>
    </w:p>
    <w:p w14:paraId="74378E77">
      <w:pPr>
        <w:keepNext w:val="0"/>
        <w:keepLines w:val="0"/>
        <w:pageBreakBefore w:val="0"/>
        <w:numPr>
          <w:ilvl w:val="0"/>
          <w:numId w:val="10"/>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个性化需求改造，</w:t>
      </w:r>
      <w:r>
        <w:rPr>
          <w:rFonts w:hint="eastAsia" w:ascii="Times New Roman" w:hAnsi="Times New Roman" w:eastAsia="宋体" w:cs="Times New Roman"/>
          <w:b w:val="0"/>
          <w:kern w:val="2"/>
          <w:sz w:val="24"/>
          <w:szCs w:val="24"/>
          <w:highlight w:val="none"/>
          <w:lang w:val="en-US" w:eastAsia="zh-CN" w:bidi="ar"/>
        </w:rPr>
        <w:t>包括但不限于：个性化功能需求、软件接口开发、数据库视图等。</w:t>
      </w:r>
    </w:p>
    <w:p w14:paraId="6DAF7DAC">
      <w:pPr>
        <w:keepNext w:val="0"/>
        <w:keepLines w:val="0"/>
        <w:pageBreakBefore w:val="0"/>
        <w:numPr>
          <w:ilvl w:val="0"/>
          <w:numId w:val="10"/>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数据迁移、备份和恢复</w:t>
      </w:r>
      <w:r>
        <w:rPr>
          <w:rFonts w:hint="eastAsia" w:ascii="Times New Roman" w:hAnsi="Times New Roman" w:eastAsia="宋体" w:cs="Times New Roman"/>
          <w:b w:val="0"/>
          <w:sz w:val="24"/>
          <w:szCs w:val="24"/>
          <w:highlight w:val="none"/>
          <w:lang w:val="en-US" w:eastAsia="zh-CN"/>
        </w:rPr>
        <w:t>服务（如采购人需要）</w:t>
      </w:r>
      <w:r>
        <w:rPr>
          <w:rFonts w:hint="eastAsia" w:ascii="Times New Roman" w:hAnsi="Times New Roman" w:eastAsia="宋体" w:cs="Times New Roman"/>
          <w:b w:val="0"/>
          <w:sz w:val="24"/>
          <w:szCs w:val="24"/>
          <w:highlight w:val="none"/>
        </w:rPr>
        <w:t>。</w:t>
      </w:r>
    </w:p>
    <w:p w14:paraId="501B5E5C">
      <w:pPr>
        <w:keepNext w:val="0"/>
        <w:keepLines w:val="0"/>
        <w:pageBreakBefore w:val="0"/>
        <w:numPr>
          <w:ilvl w:val="0"/>
          <w:numId w:val="10"/>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每个季度至少提供一次数据库、软件服务巡检</w:t>
      </w:r>
      <w:r>
        <w:rPr>
          <w:rFonts w:hint="eastAsia" w:ascii="Times New Roman" w:hAnsi="Times New Roman" w:eastAsia="宋体" w:cs="Times New Roman"/>
          <w:b w:val="0"/>
          <w:sz w:val="24"/>
          <w:szCs w:val="24"/>
          <w:highlight w:val="none"/>
        </w:rPr>
        <w:t>。</w:t>
      </w:r>
      <w:r>
        <w:rPr>
          <w:rFonts w:hint="eastAsia" w:ascii="Times New Roman" w:hAnsi="Times New Roman" w:eastAsia="宋体" w:cs="Times New Roman"/>
          <w:b w:val="0"/>
          <w:kern w:val="2"/>
          <w:sz w:val="24"/>
          <w:szCs w:val="24"/>
          <w:highlight w:val="none"/>
          <w:vertAlign w:val="baseline"/>
          <w:lang w:val="en-US" w:eastAsia="zh-CN" w:bidi="ar"/>
        </w:rPr>
        <w:t>除定期的巡检之外，根据实际情况提供重大的节假日（包括但不限于五一、十一、春节、元旦等）、会议等事件之前的健康检查工作，包括设备和软件健康状态问题检查等；根据用户巡检要求，提交详尽的巡检报告，并根据检查结果提供建议和维护计划，及时发现并纠正可能出现的问题或隐患。</w:t>
      </w:r>
    </w:p>
    <w:p w14:paraId="4099666D">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sz w:val="24"/>
          <w:szCs w:val="24"/>
          <w:highlight w:val="none"/>
          <w:lang w:val="en-US" w:eastAsia="zh-CN"/>
        </w:rPr>
        <w:t>质保</w:t>
      </w:r>
      <w:r>
        <w:rPr>
          <w:rFonts w:hint="eastAsia" w:ascii="Times New Roman" w:hAnsi="Times New Roman" w:eastAsia="宋体" w:cs="Times New Roman"/>
          <w:b w:val="0"/>
          <w:kern w:val="2"/>
          <w:sz w:val="24"/>
          <w:szCs w:val="24"/>
          <w:highlight w:val="none"/>
          <w:lang w:val="en-US" w:eastAsia="zh-CN" w:bidi="ar"/>
        </w:rPr>
        <w:t>期内，投标人应及时解决因技术升级等原因给系统应用带来的问题，免费提供补丁程序及技术支持服务等，保证采购人系统因上述原因升级后能正常运行。对采购人提出的修改意见，投标人必须在48小时内予以答复并按照采购人确认的时间组织实施。质保期内所有因软件开发服务问题或因设备更换或修理部件、模块而导致系统停止运行的，质保期将按停运天数两倍（按24小时计算，不满24小时按24小时计算）相应延长。</w:t>
      </w:r>
    </w:p>
    <w:p w14:paraId="3C34D9DA">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kern w:val="2"/>
          <w:sz w:val="24"/>
          <w:szCs w:val="24"/>
          <w:highlight w:val="none"/>
          <w:lang w:val="en-US" w:eastAsia="zh-CN" w:bidi="ar"/>
        </w:rPr>
        <w:t>服务考核：叁年</w:t>
      </w:r>
      <w:r>
        <w:rPr>
          <w:rFonts w:hint="eastAsia" w:ascii="Times New Roman" w:hAnsi="Times New Roman" w:eastAsia="宋体" w:cs="Times New Roman"/>
          <w:b w:val="0"/>
          <w:sz w:val="24"/>
          <w:szCs w:val="24"/>
          <w:highlight w:val="none"/>
          <w:lang w:val="en-US" w:eastAsia="zh-CN"/>
        </w:rPr>
        <w:t>质保</w:t>
      </w:r>
      <w:r>
        <w:rPr>
          <w:rFonts w:hint="eastAsia" w:ascii="Times New Roman" w:hAnsi="Times New Roman" w:eastAsia="宋体" w:cs="Times New Roman"/>
          <w:b w:val="0"/>
          <w:kern w:val="2"/>
          <w:sz w:val="24"/>
          <w:szCs w:val="24"/>
          <w:highlight w:val="none"/>
          <w:lang w:val="en-US" w:eastAsia="zh-CN" w:bidi="ar"/>
        </w:rPr>
        <w:t>期满，采购人考核投标人售后服务，作为投标人履约情况及质保金付款的依据，投标人售后服务不达标，采购人有权拒付或扣减投标人质保金，投标人应予接受。</w:t>
      </w:r>
    </w:p>
    <w:p w14:paraId="0D4690DD">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sz w:val="24"/>
          <w:szCs w:val="24"/>
          <w:highlight w:val="none"/>
          <w:lang w:val="en-US" w:eastAsia="zh-CN"/>
        </w:rPr>
        <w:t>质保</w:t>
      </w:r>
      <w:r>
        <w:rPr>
          <w:rFonts w:hint="eastAsia" w:ascii="Times New Roman" w:hAnsi="Times New Roman" w:eastAsia="宋体" w:cs="Times New Roman"/>
          <w:b w:val="0"/>
          <w:kern w:val="2"/>
          <w:sz w:val="24"/>
          <w:szCs w:val="24"/>
          <w:highlight w:val="none"/>
          <w:lang w:val="en-US" w:eastAsia="zh-CN" w:bidi="ar"/>
        </w:rPr>
        <w:t>期过后，投标人需提供终身有偿维保服务，该有偿维保服务由双方基于海南省相关政府部门出台的运维标准（不高于原则）另行商定和签定。</w:t>
      </w:r>
    </w:p>
    <w:p w14:paraId="61BB44DD">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7.4技术支持服务</w:t>
      </w:r>
    </w:p>
    <w:p w14:paraId="23321951">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（一）本项目实施和质保期间投标人提供免费的技术支持服务，形式上包括电话技术支持服务、远程技术支持服务、现场技术支持支持服务（需要时提供）。</w:t>
      </w:r>
    </w:p>
    <w:p w14:paraId="4E7E1DFD">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（二）系统部署完成后，对于用户在实际使用</w:t>
      </w:r>
      <w:r>
        <w:rPr>
          <w:rFonts w:hint="eastAsia" w:ascii="Times New Roman" w:hAnsi="Times New Roman" w:eastAsia="宋体" w:cs="Times New Roman"/>
          <w:kern w:val="2"/>
          <w:sz w:val="24"/>
          <w:szCs w:val="24"/>
          <w:highlight w:val="none"/>
          <w:vertAlign w:val="baseline"/>
          <w:lang w:val="en-US" w:eastAsia="zh-CN" w:bidi="ar"/>
        </w:rPr>
        <w:t>中所发生各类问题和疑问，投标人随时帮助用户了解由投标人提供的产品或服务所引发的运行异常情况的原因，并提供及时的技术支持和资料帮助。</w:t>
      </w:r>
    </w:p>
    <w:p w14:paraId="637F339D">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highlight w:val="none"/>
          <w:vertAlign w:val="baseline"/>
          <w:lang w:val="en-US" w:eastAsia="zh-CN" w:bidi="ar"/>
        </w:rPr>
        <w:t>（三）投标人根据使用方的实际技术服务支持需要，制定详细的服务支持计划并在实施前与用户沟通。</w:t>
      </w:r>
    </w:p>
    <w:p w14:paraId="0ECDAD6A">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highlight w:val="none"/>
          <w:vertAlign w:val="baseline"/>
          <w:lang w:val="en-US" w:eastAsia="zh-CN" w:bidi="ar"/>
        </w:rPr>
        <w:t>（四）投标人通过线上、远程等方式提供技术支持，及时在群里解答相关人员的问题。</w:t>
      </w:r>
    </w:p>
    <w:p w14:paraId="6ACC9358">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五）提供重大变更现场支持服务。在项目质保期内，当用户需要对设备或软件进行相应变更时，投标人派遣工程师提供现场支持，协助用户做好重大变更的技术支持和规划工作，并做好重大变更后的技术支持保障工作。具体问题双方协商解决：如设备搬迁、系统改造与升级、设备扩容、与设备相关的其他重大变更。</w:t>
      </w:r>
    </w:p>
    <w:p w14:paraId="4DD2E82E">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六）质保期内，对于所有处于技术服务范围内的系统，投标人根据采购人的需要为相关设备、软件和服务建立档案，记录设备详细配置、微码版本和运行信息、故障响应服务、巡检和预防性维护的详细资料，并向采购人使用部门和管理部门提交详实的服务报告、系统健康检查报告、技术培训报告等。</w:t>
      </w:r>
    </w:p>
    <w:p w14:paraId="3A93D6B7">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bookmarkStart w:id="1" w:name="_Toc456539531"/>
      <w:bookmarkStart w:id="2" w:name="_Toc456539372"/>
      <w:bookmarkStart w:id="3" w:name="_Toc456869935"/>
      <w:bookmarkStart w:id="4" w:name="_Toc444790682"/>
      <w:bookmarkStart w:id="5" w:name="_Toc426564239"/>
      <w:bookmarkStart w:id="6" w:name="_Toc456724221"/>
      <w:bookmarkStart w:id="7" w:name="_Toc425951545"/>
      <w:bookmarkStart w:id="8" w:name="_Toc420749677"/>
      <w:r>
        <w:rPr>
          <w:rFonts w:hint="eastAsia" w:ascii="宋体" w:hAnsi="宋体" w:cs="宋体"/>
          <w:b/>
          <w:color w:val="auto"/>
          <w:sz w:val="24"/>
          <w:szCs w:val="24"/>
          <w:lang w:val="en-US" w:eastAsia="zh-CN"/>
        </w:rPr>
        <w:t>7.5故障处理原则</w:t>
      </w:r>
      <w:bookmarkEnd w:id="1"/>
      <w:bookmarkEnd w:id="2"/>
      <w:bookmarkEnd w:id="3"/>
      <w:bookmarkEnd w:id="4"/>
      <w:bookmarkEnd w:id="5"/>
      <w:bookmarkEnd w:id="6"/>
      <w:bookmarkEnd w:id="7"/>
      <w:bookmarkEnd w:id="8"/>
    </w:p>
    <w:p w14:paraId="494DAA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lang w:val="en-US" w:eastAsia="zh-CN" w:bidi="ar"/>
        </w:rPr>
      </w:pPr>
      <w:r>
        <w:rPr>
          <w:rFonts w:hint="eastAsia" w:ascii="Times New Roman" w:hAnsi="Times New Roman" w:eastAsia="宋体" w:cs="Times New Roman"/>
          <w:kern w:val="2"/>
          <w:sz w:val="24"/>
          <w:szCs w:val="24"/>
          <w:lang w:val="en-US" w:eastAsia="zh-CN" w:bidi="ar"/>
        </w:rPr>
        <w:t>投标人根据实际情况，在维护期间遵照如下故障处理原则：</w:t>
      </w:r>
    </w:p>
    <w:p w14:paraId="7D9B4428">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一）无推诿承诺：系统出现故障后，当用户根据故障情况分析后明确要求投标人提供现场抢修时，投标人不能以各种理由进行推诿，第一时间安排维修人员赶到用户现场提供支持服务，保证在用户要求的时间内到达现场配合工作。</w:t>
      </w:r>
    </w:p>
    <w:p w14:paraId="69990698">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二）响应方式的升级：为了保证最快解决问题，投标人在发生故障后首先采用电话等远程服务响应，协助故障诊断处理和提供有效解决方案。当确认远程无法有效解决、无法判断故障点的或确认为硬件故障的，投标人将马上提供现场抢修，在约定的时间内上门处理，尽快恢复正常使用。</w:t>
      </w:r>
    </w:p>
    <w:p w14:paraId="29F081AB">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（三）提供故障质保服务报告：在故障问题发生后，投标人在一周内向相关使用部门和管理部门提交详细的故障质保服务报告，包括服务时间、服务内容、操作步骤、建议等。</w:t>
      </w:r>
    </w:p>
    <w:p w14:paraId="4FD7550D">
      <w:pPr>
        <w:pStyle w:val="18"/>
        <w:keepNext w:val="0"/>
        <w:keepLines w:val="0"/>
        <w:pageBreakBefore w:val="0"/>
        <w:kinsoku/>
        <w:wordWrap/>
        <w:overflowPunct/>
        <w:topLinePunct w:val="0"/>
        <w:autoSpaceDE/>
        <w:autoSpaceDN/>
        <w:bidi w:val="0"/>
        <w:adjustRightInd/>
        <w:spacing w:line="360" w:lineRule="auto"/>
        <w:ind w:firstLine="482" w:firstLineChars="200"/>
        <w:rPr>
          <w:rFonts w:hint="default" w:ascii="宋体" w:hAnsi="宋体" w:cs="宋体"/>
          <w:b/>
          <w:color w:val="auto"/>
          <w:sz w:val="24"/>
          <w:szCs w:val="24"/>
          <w:lang w:val="en-US" w:eastAsia="zh-CN"/>
        </w:rPr>
      </w:pPr>
      <w:r>
        <w:rPr>
          <w:rFonts w:hint="eastAsia" w:ascii="宋体" w:hAnsi="宋体" w:cs="宋体"/>
          <w:b/>
          <w:color w:val="auto"/>
          <w:sz w:val="24"/>
          <w:szCs w:val="24"/>
          <w:lang w:val="en-US" w:eastAsia="zh-CN"/>
        </w:rPr>
        <w:t>8项目验收及付款</w:t>
      </w:r>
    </w:p>
    <w:p w14:paraId="67F86201">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8.1项目验收</w:t>
      </w:r>
    </w:p>
    <w:p w14:paraId="46B42199">
      <w:pPr>
        <w:pStyle w:val="10"/>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本项目采用整体验收的方式。</w:t>
      </w:r>
    </w:p>
    <w:p w14:paraId="79D3270F">
      <w:pPr>
        <w:pStyle w:val="10"/>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功能交付达到合同约定，</w:t>
      </w:r>
      <w:r>
        <w:rPr>
          <w:rFonts w:hint="default" w:ascii="Times New Roman" w:hAnsi="Times New Roman" w:eastAsia="宋体" w:cs="Times New Roman"/>
          <w:color w:val="000000"/>
          <w:sz w:val="24"/>
          <w:szCs w:val="24"/>
          <w:highlight w:val="none"/>
          <w:lang w:val="en-US" w:eastAsia="zh-CN"/>
        </w:rPr>
        <w:t>系统完成安装调试工作后</w:t>
      </w:r>
      <w:r>
        <w:rPr>
          <w:rFonts w:hint="eastAsia" w:ascii="Times New Roman" w:hAnsi="Times New Roman" w:eastAsia="宋体" w:cs="Times New Roman"/>
          <w:color w:val="000000"/>
          <w:sz w:val="24"/>
          <w:szCs w:val="24"/>
          <w:highlight w:val="none"/>
          <w:lang w:val="en-US" w:eastAsia="zh-CN"/>
        </w:rPr>
        <w:t>，中标人向采购人书面提交预验收申请及</w:t>
      </w:r>
      <w:r>
        <w:rPr>
          <w:rFonts w:hint="eastAsia" w:ascii="Times New Roman" w:hAnsi="Times New Roman" w:eastAsia="宋体" w:cs="Times New Roman"/>
          <w:sz w:val="24"/>
          <w:szCs w:val="24"/>
          <w:highlight w:val="none"/>
        </w:rPr>
        <w:t>相关文档</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预验收通过后进入试运行阶段，系统稳定试运行三个月后，</w:t>
      </w:r>
      <w:r>
        <w:rPr>
          <w:rFonts w:hint="default" w:ascii="Times New Roman" w:hAnsi="Times New Roman" w:eastAsia="宋体" w:cs="Times New Roman"/>
          <w:color w:val="000000"/>
          <w:sz w:val="24"/>
          <w:szCs w:val="24"/>
          <w:highlight w:val="none"/>
          <w:lang w:val="en-US" w:eastAsia="zh-CN"/>
        </w:rPr>
        <w:t>中标人向采购人书面提</w:t>
      </w:r>
      <w:r>
        <w:rPr>
          <w:rFonts w:hint="default" w:ascii="Times New Roman" w:hAnsi="Times New Roman" w:eastAsia="宋体" w:cs="Times New Roman"/>
          <w:color w:val="000000"/>
          <w:sz w:val="24"/>
          <w:szCs w:val="24"/>
          <w:highlight w:val="none"/>
          <w:lang w:eastAsia="zh-CN"/>
        </w:rPr>
        <w:t>交</w:t>
      </w:r>
      <w:r>
        <w:rPr>
          <w:rFonts w:hint="eastAsia" w:ascii="Times New Roman" w:hAnsi="Times New Roman" w:eastAsia="宋体" w:cs="Times New Roman"/>
          <w:color w:val="000000"/>
          <w:sz w:val="24"/>
          <w:szCs w:val="24"/>
          <w:highlight w:val="none"/>
          <w:lang w:val="en-US" w:eastAsia="zh-CN"/>
        </w:rPr>
        <w:t>验收</w:t>
      </w:r>
      <w:r>
        <w:rPr>
          <w:rFonts w:hint="default" w:ascii="Times New Roman" w:hAnsi="Times New Roman" w:eastAsia="宋体" w:cs="Times New Roman"/>
          <w:color w:val="000000"/>
          <w:sz w:val="24"/>
          <w:szCs w:val="24"/>
          <w:highlight w:val="none"/>
          <w:lang w:val="en-US" w:eastAsia="zh-CN"/>
        </w:rPr>
        <w:t>申请</w:t>
      </w:r>
      <w:r>
        <w:rPr>
          <w:rFonts w:hint="default" w:ascii="Times New Roman" w:hAnsi="Times New Roman" w:eastAsia="宋体" w:cs="Times New Roman"/>
          <w:color w:val="000000"/>
          <w:sz w:val="24"/>
          <w:szCs w:val="24"/>
          <w:highlight w:val="none"/>
          <w:lang w:eastAsia="zh-CN"/>
        </w:rPr>
        <w:t>及相关文档</w:t>
      </w:r>
      <w:r>
        <w:rPr>
          <w:rFonts w:hint="default" w:ascii="Times New Roman" w:hAnsi="Times New Roman" w:eastAsia="宋体" w:cs="Times New Roman"/>
          <w:color w:val="000000"/>
          <w:sz w:val="24"/>
          <w:szCs w:val="24"/>
          <w:highlight w:val="none"/>
          <w:lang w:val="en-US" w:eastAsia="zh-CN"/>
        </w:rPr>
        <w:t>，由采购人</w:t>
      </w:r>
      <w:r>
        <w:rPr>
          <w:rFonts w:hint="eastAsia" w:ascii="Times New Roman" w:hAnsi="Times New Roman" w:eastAsia="宋体" w:cs="Times New Roman"/>
          <w:color w:val="000000"/>
          <w:sz w:val="24"/>
          <w:szCs w:val="24"/>
          <w:highlight w:val="none"/>
          <w:lang w:val="en-US" w:eastAsia="zh-CN"/>
        </w:rPr>
        <w:t>根据相关程序进行项目验收</w:t>
      </w:r>
      <w:r>
        <w:rPr>
          <w:rFonts w:hint="default" w:ascii="Times New Roman" w:hAnsi="Times New Roman" w:eastAsia="宋体" w:cs="Times New Roman"/>
          <w:color w:val="000000"/>
          <w:sz w:val="24"/>
          <w:szCs w:val="24"/>
          <w:highlight w:val="none"/>
          <w:lang w:val="en-US" w:eastAsia="zh-CN"/>
        </w:rPr>
        <w:t>。</w:t>
      </w:r>
    </w:p>
    <w:p w14:paraId="178346BA">
      <w:pPr>
        <w:pStyle w:val="1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8.2付款方式</w:t>
      </w:r>
    </w:p>
    <w:p w14:paraId="4C5830B6">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本项目所有款项均以人民币支付，项目合同总价以中标价为准。付款方式如下：</w:t>
      </w:r>
    </w:p>
    <w:p w14:paraId="7E031183">
      <w:pPr>
        <w:keepNext w:val="0"/>
        <w:keepLines w:val="0"/>
        <w:pageBreakBefore w:val="0"/>
        <w:numPr>
          <w:ilvl w:val="0"/>
          <w:numId w:val="0"/>
        </w:numPr>
        <w:kinsoku/>
        <w:wordWrap/>
        <w:overflowPunct/>
        <w:topLinePunct w:val="0"/>
        <w:autoSpaceDE/>
        <w:autoSpaceDN/>
        <w:bidi w:val="0"/>
        <w:spacing w:line="360" w:lineRule="auto"/>
        <w:ind w:right="0" w:righ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ascii="Times New Roman" w:hAnsi="Times New Roman" w:eastAsia="宋体" w:cs="Times New Roman"/>
          <w:sz w:val="24"/>
          <w:szCs w:val="24"/>
          <w:lang w:val="en-US" w:eastAsia="zh-CN"/>
        </w:rPr>
        <w:t>软硬件交付达到合同约定，系统完成安装调试工作后，中标人向采购人书面提交预验收申请及相关文档。经采购人预验收合格后，凭中标人提供的正式有效的含税发票，采购人办理相关手续后，支付合同总额的</w:t>
      </w:r>
      <w:r>
        <w:rPr>
          <w:rFonts w:hint="eastAsia" w:ascii="Times New Roman" w:hAnsi="Times New Roman" w:eastAsia="宋体" w:cs="Times New Roman"/>
          <w:sz w:val="24"/>
          <w:szCs w:val="24"/>
          <w:u w:val="single"/>
          <w:lang w:val="en-US" w:eastAsia="zh-CN"/>
        </w:rPr>
        <w:t xml:space="preserve">30 </w:t>
      </w:r>
      <w:r>
        <w:rPr>
          <w:rFonts w:hint="eastAsia" w:ascii="Times New Roman" w:hAnsi="Times New Roman" w:eastAsia="宋体" w:cs="Times New Roman"/>
          <w:sz w:val="24"/>
          <w:szCs w:val="24"/>
          <w:lang w:val="en-US" w:eastAsia="zh-CN"/>
        </w:rPr>
        <w:t>%；</w:t>
      </w:r>
    </w:p>
    <w:p w14:paraId="5F9F5F9D">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2、预验收通过后进入试运行阶段，系统稳定试运行三个月后，中标人向采购人书面提交验收申请及相关文档，验收合格后，凭中标人提供的正式有效的含税发票，采购人办理相关手续后，支付合同总额的</w:t>
      </w:r>
      <w:r>
        <w:rPr>
          <w:rFonts w:hint="eastAsia" w:ascii="Times New Roman" w:hAnsi="Times New Roman" w:eastAsia="宋体" w:cs="Times New Roman"/>
          <w:sz w:val="24"/>
          <w:szCs w:val="24"/>
          <w:u w:val="single"/>
          <w:lang w:val="en-US" w:eastAsia="zh-CN"/>
        </w:rPr>
        <w:t xml:space="preserve">65 </w:t>
      </w:r>
      <w:r>
        <w:rPr>
          <w:rFonts w:hint="eastAsia" w:ascii="Times New Roman" w:hAnsi="Times New Roman" w:eastAsia="宋体" w:cs="Times New Roman"/>
          <w:sz w:val="24"/>
          <w:szCs w:val="24"/>
          <w:lang w:val="en-US" w:eastAsia="zh-CN"/>
        </w:rPr>
        <w:t>%；</w:t>
      </w:r>
    </w:p>
    <w:p w14:paraId="3EB6114F">
      <w:pPr>
        <w:keepNext w:val="0"/>
        <w:keepLines w:val="0"/>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3、剩余合同总额的</w:t>
      </w:r>
      <w:r>
        <w:rPr>
          <w:rFonts w:hint="eastAsia" w:ascii="Times New Roman" w:hAnsi="Times New Roman" w:eastAsia="宋体" w:cs="Times New Roman"/>
          <w:sz w:val="24"/>
          <w:szCs w:val="24"/>
          <w:u w:val="single"/>
          <w:lang w:val="en-US" w:eastAsia="zh-CN"/>
        </w:rPr>
        <w:t>5</w:t>
      </w:r>
      <w:r>
        <w:rPr>
          <w:rFonts w:hint="eastAsia" w:ascii="Times New Roman" w:hAnsi="Times New Roman" w:eastAsia="宋体" w:cs="Times New Roman"/>
          <w:sz w:val="24"/>
          <w:szCs w:val="24"/>
          <w:lang w:val="en-US" w:eastAsia="zh-CN"/>
        </w:rPr>
        <w:t>%合同款转为质保金，质保期结束后，采购人相关部门对中标人质保服务进行评价（详见附件1：</w:t>
      </w:r>
      <w:r>
        <w:rPr>
          <w:rFonts w:hint="eastAsia" w:ascii="Times New Roman" w:hAnsi="Times New Roman" w:eastAsia="宋体" w:cs="Times New Roman"/>
          <w:snapToGrid w:val="0"/>
          <w:color w:val="000000"/>
          <w:kern w:val="0"/>
          <w:sz w:val="24"/>
          <w:szCs w:val="24"/>
          <w:lang w:val="en-US" w:eastAsia="zh-CN" w:bidi="ar-SA"/>
        </w:rPr>
        <w:t>质保期评价表</w:t>
      </w:r>
      <w:r>
        <w:rPr>
          <w:rFonts w:hint="eastAsia" w:ascii="Times New Roman" w:hAnsi="Times New Roman" w:eastAsia="宋体" w:cs="Times New Roman"/>
          <w:sz w:val="24"/>
          <w:szCs w:val="24"/>
          <w:lang w:val="en-US" w:eastAsia="zh-CN"/>
        </w:rPr>
        <w:t>），根据评价结果凭中标人提供的正式有效的含税发票，采购人办理相关手续后，支付剩余合同款项。投标人质保服务不达标，采购人有权拒付或扣减投标人质保金。</w:t>
      </w:r>
    </w:p>
    <w:p w14:paraId="178973B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维保服务评价结果为优秀，全额支付</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3B20BBE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维保评价结果为良好，支付85%</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5735395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维保评价结果为合格，支付70%</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7613233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97" w:right="0" w:firstLine="0"/>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rPr>
        <w:t>维保评价结果为不合格，</w:t>
      </w:r>
      <w:r>
        <w:rPr>
          <w:rFonts w:hint="eastAsia" w:ascii="宋体" w:hAnsi="宋体" w:eastAsia="宋体" w:cs="宋体"/>
          <w:i w:val="0"/>
          <w:iCs w:val="0"/>
          <w:caps w:val="0"/>
          <w:color w:val="000000"/>
          <w:spacing w:val="0"/>
          <w:sz w:val="24"/>
          <w:szCs w:val="24"/>
          <w:lang w:val="en-US" w:eastAsia="zh-CN"/>
        </w:rPr>
        <w:t>采购人</w:t>
      </w:r>
      <w:r>
        <w:rPr>
          <w:rFonts w:ascii="宋体" w:hAnsi="宋体" w:eastAsia="宋体" w:cs="宋体"/>
          <w:i w:val="0"/>
          <w:iCs w:val="0"/>
          <w:caps w:val="0"/>
          <w:color w:val="000000"/>
          <w:spacing w:val="0"/>
          <w:sz w:val="24"/>
          <w:szCs w:val="24"/>
        </w:rPr>
        <w:t>有权拒付</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rPr>
        <w:t>。</w:t>
      </w:r>
    </w:p>
    <w:p w14:paraId="39B6E9D4">
      <w:pPr>
        <w:rPr>
          <w:rFonts w:hint="eastAsia" w:ascii="宋体" w:hAnsi="宋体" w:eastAsia="宋体"/>
        </w:rPr>
      </w:pPr>
      <w:r>
        <w:rPr>
          <w:rFonts w:hint="eastAsia" w:ascii="宋体" w:hAnsi="宋体" w:eastAsia="宋体"/>
        </w:rPr>
        <w:br w:type="page"/>
      </w:r>
    </w:p>
    <w:p w14:paraId="7CE0A6EF">
      <w:pPr>
        <w:bidi w:val="0"/>
        <w:jc w:val="left"/>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附件1：</w:t>
      </w:r>
    </w:p>
    <w:p w14:paraId="03CA8FD3">
      <w:pPr>
        <w:jc w:val="center"/>
        <w:rPr>
          <w:rFonts w:hint="eastAsia"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海南医科大学第二附属医院</w:t>
      </w:r>
    </w:p>
    <w:p w14:paraId="218A47CF">
      <w:pPr>
        <w:jc w:val="center"/>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医保业务综合服务（系统相关软硬件）采购项目</w:t>
      </w:r>
      <w:r>
        <w:rPr>
          <w:rFonts w:hint="eastAsia" w:ascii="Times New Roman" w:hAnsi="Times New Roman" w:eastAsia="宋体" w:cs="Times New Roman"/>
          <w:snapToGrid w:val="0"/>
          <w:color w:val="000000"/>
          <w:kern w:val="0"/>
          <w:sz w:val="24"/>
          <w:szCs w:val="24"/>
          <w:lang w:val="en-US" w:eastAsia="zh-CN" w:bidi="ar-SA"/>
        </w:rPr>
        <w:t>质保期评价表</w:t>
      </w:r>
    </w:p>
    <w:tbl>
      <w:tblPr>
        <w:tblStyle w:val="15"/>
        <w:tblW w:w="89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22"/>
        <w:gridCol w:w="1991"/>
        <w:gridCol w:w="6259"/>
      </w:tblGrid>
      <w:tr w14:paraId="08C68F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1" w:hRule="atLeast"/>
        </w:trPr>
        <w:tc>
          <w:tcPr>
            <w:tcW w:w="2713" w:type="dxa"/>
            <w:gridSpan w:val="2"/>
            <w:vAlign w:val="center"/>
          </w:tcPr>
          <w:p w14:paraId="2EEBF62A">
            <w:pPr>
              <w:pStyle w:val="9"/>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承建供应商</w:t>
            </w:r>
          </w:p>
        </w:tc>
        <w:tc>
          <w:tcPr>
            <w:tcW w:w="6259" w:type="dxa"/>
            <w:vAlign w:val="center"/>
          </w:tcPr>
          <w:p w14:paraId="6DC22359">
            <w:pPr>
              <w:pStyle w:val="9"/>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p>
        </w:tc>
      </w:tr>
      <w:tr w14:paraId="3582CF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0" w:hRule="atLeast"/>
        </w:trPr>
        <w:tc>
          <w:tcPr>
            <w:tcW w:w="8972" w:type="dxa"/>
            <w:gridSpan w:val="3"/>
            <w:vAlign w:val="center"/>
          </w:tcPr>
          <w:p w14:paraId="7CD5469E">
            <w:pPr>
              <w:pStyle w:val="9"/>
              <w:keepNext w:val="0"/>
              <w:keepLines w:val="0"/>
              <w:pageBreakBefore w:val="0"/>
              <w:widowControl/>
              <w:tabs>
                <w:tab w:val="left" w:pos="420"/>
              </w:tabs>
              <w:kinsoku/>
              <w:wordWrap/>
              <w:overflowPunct/>
              <w:topLinePunct w:val="0"/>
              <w:autoSpaceDE/>
              <w:autoSpaceDN/>
              <w:bidi w:val="0"/>
              <w:adjustRightInd/>
              <w:snapToGrid/>
              <w:spacing w:after="0" w:line="36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评分规则：本评价表10个评分项，每个评分项0~10</w:t>
            </w:r>
            <w:bookmarkStart w:id="9" w:name="_GoBack"/>
            <w:bookmarkEnd w:id="9"/>
            <w:r>
              <w:rPr>
                <w:rFonts w:hint="eastAsia" w:ascii="宋体" w:hAnsi="宋体" w:eastAsia="宋体" w:cs="宋体"/>
                <w:sz w:val="21"/>
                <w:szCs w:val="21"/>
                <w:lang w:val="en-US" w:eastAsia="zh-CN"/>
              </w:rPr>
              <w:t>分，满分合计100分。各评分项得分合计≤70，本项目质保服务不合格，不予支付质保金；70＜各评分项得分合计≤80，项目质保服务合格，支付70%质保金；80＜各评分项得分合计≤90，质保服务良好，支付85%质保金；90＜各评分项得分合计≤100，质保服务优秀，支付100%质保金；</w:t>
            </w:r>
          </w:p>
        </w:tc>
      </w:tr>
      <w:tr w14:paraId="0329E2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72" w:hRule="atLeast"/>
        </w:trPr>
        <w:tc>
          <w:tcPr>
            <w:tcW w:w="722" w:type="dxa"/>
            <w:vAlign w:val="center"/>
          </w:tcPr>
          <w:p w14:paraId="6EC8FA44">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991" w:type="dxa"/>
            <w:vAlign w:val="center"/>
          </w:tcPr>
          <w:p w14:paraId="7BE3644C">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评价维度</w:t>
            </w:r>
          </w:p>
        </w:tc>
        <w:tc>
          <w:tcPr>
            <w:tcW w:w="6259" w:type="dxa"/>
          </w:tcPr>
          <w:p w14:paraId="40368589">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评价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各评分项0~10分</w:t>
            </w:r>
            <w:r>
              <w:rPr>
                <w:rFonts w:hint="eastAsia" w:ascii="宋体" w:hAnsi="宋体" w:eastAsia="宋体" w:cs="宋体"/>
                <w:sz w:val="21"/>
                <w:szCs w:val="21"/>
                <w:lang w:eastAsia="zh-CN"/>
              </w:rPr>
              <w:t>）</w:t>
            </w:r>
          </w:p>
        </w:tc>
      </w:tr>
      <w:tr w14:paraId="177248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6F75B2C">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991" w:type="dxa"/>
            <w:vAlign w:val="top"/>
          </w:tcPr>
          <w:p w14:paraId="0BE0704B">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系统安全性</w:t>
            </w:r>
          </w:p>
        </w:tc>
        <w:tc>
          <w:tcPr>
            <w:tcW w:w="6259" w:type="dxa"/>
            <w:vAlign w:val="top"/>
          </w:tcPr>
          <w:p w14:paraId="2E18F355">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F9947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DF75D75">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991" w:type="dxa"/>
            <w:vAlign w:val="top"/>
          </w:tcPr>
          <w:p w14:paraId="40BD81D8">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系统稳定性</w:t>
            </w:r>
          </w:p>
        </w:tc>
        <w:tc>
          <w:tcPr>
            <w:tcW w:w="6259" w:type="dxa"/>
            <w:vAlign w:val="top"/>
          </w:tcPr>
          <w:p w14:paraId="3E46B5F5">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2095F6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29C6BF90">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991" w:type="dxa"/>
            <w:vAlign w:val="top"/>
          </w:tcPr>
          <w:p w14:paraId="35746FE3">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系统流畅性</w:t>
            </w:r>
          </w:p>
        </w:tc>
        <w:tc>
          <w:tcPr>
            <w:tcW w:w="6259" w:type="dxa"/>
            <w:vAlign w:val="top"/>
          </w:tcPr>
          <w:p w14:paraId="4C9BFD02">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5F168E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3FAFFA2B">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991" w:type="dxa"/>
            <w:vAlign w:val="top"/>
          </w:tcPr>
          <w:p w14:paraId="3E63905B">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系统连续性</w:t>
            </w:r>
          </w:p>
        </w:tc>
        <w:tc>
          <w:tcPr>
            <w:tcW w:w="6259" w:type="dxa"/>
            <w:vAlign w:val="top"/>
          </w:tcPr>
          <w:p w14:paraId="3DD97207">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29391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77094A4D">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991" w:type="dxa"/>
            <w:vAlign w:val="top"/>
          </w:tcPr>
          <w:p w14:paraId="7755BC48">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平均无故障时间</w:t>
            </w:r>
          </w:p>
        </w:tc>
        <w:tc>
          <w:tcPr>
            <w:tcW w:w="6259" w:type="dxa"/>
            <w:vAlign w:val="top"/>
          </w:tcPr>
          <w:p w14:paraId="158F33CE">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6354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5160EB2E">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991" w:type="dxa"/>
            <w:vAlign w:val="top"/>
          </w:tcPr>
          <w:p w14:paraId="5D73A7A0">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故障响应时间</w:t>
            </w:r>
          </w:p>
        </w:tc>
        <w:tc>
          <w:tcPr>
            <w:tcW w:w="6259" w:type="dxa"/>
            <w:vAlign w:val="top"/>
          </w:tcPr>
          <w:p w14:paraId="50C22ED0">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187C4A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464E14F1">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991" w:type="dxa"/>
            <w:vAlign w:val="top"/>
          </w:tcPr>
          <w:p w14:paraId="607A8AF6">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故障恢复速度</w:t>
            </w:r>
          </w:p>
        </w:tc>
        <w:tc>
          <w:tcPr>
            <w:tcW w:w="6259" w:type="dxa"/>
            <w:vAlign w:val="top"/>
          </w:tcPr>
          <w:p w14:paraId="3762B5B3">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C8035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335E214F">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991" w:type="dxa"/>
            <w:vAlign w:val="top"/>
          </w:tcPr>
          <w:p w14:paraId="057E3993">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故障改进评价</w:t>
            </w:r>
          </w:p>
        </w:tc>
        <w:tc>
          <w:tcPr>
            <w:tcW w:w="6259" w:type="dxa"/>
            <w:vAlign w:val="top"/>
          </w:tcPr>
          <w:p w14:paraId="3A3BF9A1">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A41E3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352A3F42">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991" w:type="dxa"/>
            <w:vAlign w:val="top"/>
          </w:tcPr>
          <w:p w14:paraId="5D48DC08">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系统日常维护</w:t>
            </w:r>
          </w:p>
        </w:tc>
        <w:tc>
          <w:tcPr>
            <w:tcW w:w="6259" w:type="dxa"/>
            <w:vAlign w:val="top"/>
          </w:tcPr>
          <w:p w14:paraId="686567C6">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7675F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4BA9DDFF">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991" w:type="dxa"/>
            <w:vAlign w:val="top"/>
          </w:tcPr>
          <w:p w14:paraId="4A376F9E">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日常需求响应</w:t>
            </w:r>
          </w:p>
        </w:tc>
        <w:tc>
          <w:tcPr>
            <w:tcW w:w="6259" w:type="dxa"/>
            <w:vAlign w:val="top"/>
          </w:tcPr>
          <w:p w14:paraId="64DDE9D6">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52BBD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2713" w:type="dxa"/>
            <w:gridSpan w:val="2"/>
            <w:vAlign w:val="top"/>
          </w:tcPr>
          <w:p w14:paraId="2E002562">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6259" w:type="dxa"/>
            <w:vAlign w:val="top"/>
          </w:tcPr>
          <w:p w14:paraId="7F17D054">
            <w:pPr>
              <w:pStyle w:val="9"/>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022DB0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8" w:hRule="atLeast"/>
        </w:trPr>
        <w:tc>
          <w:tcPr>
            <w:tcW w:w="8972" w:type="dxa"/>
            <w:gridSpan w:val="3"/>
          </w:tcPr>
          <w:p w14:paraId="05C638E8">
            <w:pPr>
              <w:pStyle w:val="9"/>
              <w:widowControl w:val="0"/>
              <w:tabs>
                <w:tab w:val="left" w:pos="420"/>
              </w:tabs>
              <w:spacing w:before="87"/>
              <w:ind w:left="0"/>
              <w:jc w:val="both"/>
              <w:rPr>
                <w:rFonts w:hint="eastAsia" w:ascii="宋体" w:hAnsi="宋体" w:eastAsia="宋体" w:cs="宋体"/>
                <w:sz w:val="21"/>
                <w:szCs w:val="21"/>
              </w:rPr>
            </w:pPr>
            <w:r>
              <w:rPr>
                <w:rFonts w:hint="eastAsia" w:ascii="宋体" w:hAnsi="宋体" w:eastAsia="宋体" w:cs="宋体"/>
                <w:sz w:val="21"/>
                <w:szCs w:val="21"/>
              </w:rPr>
              <w:t>评价意见：</w:t>
            </w:r>
          </w:p>
          <w:p w14:paraId="6C2955EB">
            <w:pPr>
              <w:pStyle w:val="9"/>
              <w:widowControl w:val="0"/>
              <w:tabs>
                <w:tab w:val="left" w:pos="420"/>
              </w:tabs>
              <w:spacing w:before="87"/>
              <w:ind w:left="0"/>
              <w:jc w:val="both"/>
              <w:rPr>
                <w:rFonts w:hint="eastAsia" w:ascii="宋体" w:hAnsi="宋体" w:eastAsia="宋体" w:cs="宋体"/>
                <w:sz w:val="21"/>
                <w:szCs w:val="21"/>
              </w:rPr>
            </w:pPr>
          </w:p>
          <w:p w14:paraId="7CFDF439">
            <w:pPr>
              <w:pStyle w:val="9"/>
              <w:widowControl w:val="0"/>
              <w:tabs>
                <w:tab w:val="left" w:pos="420"/>
              </w:tabs>
              <w:spacing w:before="87"/>
              <w:ind w:left="0"/>
              <w:jc w:val="both"/>
              <w:rPr>
                <w:rFonts w:hint="eastAsia" w:ascii="宋体" w:hAnsi="宋体" w:eastAsia="宋体" w:cs="宋体"/>
                <w:sz w:val="21"/>
                <w:szCs w:val="21"/>
              </w:rPr>
            </w:pPr>
          </w:p>
          <w:p w14:paraId="644E7F18">
            <w:pPr>
              <w:pStyle w:val="9"/>
              <w:widowControl w:val="0"/>
              <w:tabs>
                <w:tab w:val="left" w:pos="420"/>
              </w:tabs>
              <w:spacing w:before="87"/>
              <w:ind w:left="0"/>
              <w:jc w:val="both"/>
              <w:rPr>
                <w:rFonts w:hint="eastAsia" w:ascii="宋体" w:hAnsi="宋体" w:eastAsia="宋体" w:cs="宋体"/>
                <w:sz w:val="21"/>
                <w:szCs w:val="21"/>
              </w:rPr>
            </w:pPr>
          </w:p>
          <w:p w14:paraId="3345E572">
            <w:pPr>
              <w:pStyle w:val="9"/>
              <w:widowControl w:val="0"/>
              <w:tabs>
                <w:tab w:val="left" w:pos="420"/>
              </w:tabs>
              <w:spacing w:before="87"/>
              <w:ind w:left="0"/>
              <w:jc w:val="both"/>
              <w:rPr>
                <w:rFonts w:hint="eastAsia" w:ascii="宋体" w:hAnsi="宋体" w:eastAsia="宋体" w:cs="宋体"/>
                <w:sz w:val="21"/>
                <w:szCs w:val="21"/>
              </w:rPr>
            </w:pPr>
          </w:p>
          <w:p w14:paraId="50E129BE">
            <w:pPr>
              <w:pStyle w:val="9"/>
              <w:widowControl w:val="0"/>
              <w:tabs>
                <w:tab w:val="left" w:pos="420"/>
              </w:tabs>
              <w:spacing w:before="87"/>
              <w:ind w:left="0"/>
              <w:jc w:val="both"/>
              <w:rPr>
                <w:rFonts w:hint="eastAsia" w:ascii="宋体" w:hAnsi="宋体" w:eastAsia="宋体" w:cs="宋体"/>
                <w:sz w:val="21"/>
                <w:szCs w:val="21"/>
              </w:rPr>
            </w:pPr>
          </w:p>
          <w:p w14:paraId="6A8DCABC">
            <w:pPr>
              <w:pStyle w:val="9"/>
              <w:widowControl w:val="0"/>
              <w:tabs>
                <w:tab w:val="left" w:pos="420"/>
              </w:tabs>
              <w:spacing w:before="87"/>
              <w:ind w:left="0"/>
              <w:jc w:val="both"/>
              <w:rPr>
                <w:rFonts w:hint="eastAsia" w:ascii="宋体" w:hAnsi="宋体" w:eastAsia="宋体" w:cs="宋体"/>
                <w:sz w:val="21"/>
                <w:szCs w:val="21"/>
              </w:rPr>
            </w:pPr>
          </w:p>
          <w:p w14:paraId="6A559D14">
            <w:pPr>
              <w:pStyle w:val="9"/>
              <w:widowControl w:val="0"/>
              <w:tabs>
                <w:tab w:val="left" w:pos="420"/>
              </w:tabs>
              <w:spacing w:before="87"/>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756C956B">
            <w:pPr>
              <w:pStyle w:val="9"/>
              <w:widowControl w:val="0"/>
              <w:tabs>
                <w:tab w:val="left" w:pos="420"/>
              </w:tabs>
              <w:spacing w:before="87"/>
              <w:jc w:val="both"/>
              <w:rPr>
                <w:rFonts w:hint="eastAsia" w:ascii="宋体" w:hAnsi="宋体" w:eastAsia="宋体" w:cs="宋体"/>
                <w:sz w:val="21"/>
                <w:szCs w:val="21"/>
              </w:rPr>
            </w:pPr>
            <w:r>
              <w:rPr>
                <w:rFonts w:hint="eastAsia" w:ascii="宋体" w:hAnsi="宋体" w:eastAsia="宋体" w:cs="宋体"/>
                <w:sz w:val="21"/>
                <w:szCs w:val="21"/>
                <w:lang w:val="en-US" w:eastAsia="zh-CN"/>
              </w:rPr>
              <w:t>签字：</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日期：      年    月    日</w:t>
            </w:r>
            <w:r>
              <w:rPr>
                <w:rFonts w:hint="eastAsia" w:ascii="宋体" w:hAnsi="宋体" w:eastAsia="宋体" w:cs="宋体"/>
                <w:sz w:val="21"/>
                <w:szCs w:val="21"/>
              </w:rPr>
              <w:t xml:space="preserve">                                                    </w:t>
            </w:r>
          </w:p>
        </w:tc>
      </w:tr>
    </w:tbl>
    <w:p w14:paraId="1B488B26">
      <w:pPr>
        <w:spacing w:line="360" w:lineRule="auto"/>
        <w:rPr>
          <w:rFonts w:ascii="Times New Roman" w:hAnsi="Times New Roman" w:eastAsia="宋体"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Times New Roman (正文 CS 字体)">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8EF9C"/>
    <w:multiLevelType w:val="singleLevel"/>
    <w:tmpl w:val="9B38EF9C"/>
    <w:lvl w:ilvl="0" w:tentative="0">
      <w:start w:val="1"/>
      <w:numFmt w:val="decimal"/>
      <w:suff w:val="nothing"/>
      <w:lvlText w:val="（%1）"/>
      <w:lvlJc w:val="left"/>
    </w:lvl>
  </w:abstractNum>
  <w:abstractNum w:abstractNumId="1">
    <w:nsid w:val="A545B71D"/>
    <w:multiLevelType w:val="singleLevel"/>
    <w:tmpl w:val="A545B71D"/>
    <w:lvl w:ilvl="0" w:tentative="0">
      <w:start w:val="1"/>
      <w:numFmt w:val="decimal"/>
      <w:suff w:val="nothing"/>
      <w:lvlText w:val="（%1）"/>
      <w:lvlJc w:val="left"/>
    </w:lvl>
  </w:abstractNum>
  <w:abstractNum w:abstractNumId="2">
    <w:nsid w:val="A73D6129"/>
    <w:multiLevelType w:val="singleLevel"/>
    <w:tmpl w:val="A73D6129"/>
    <w:lvl w:ilvl="0" w:tentative="0">
      <w:start w:val="1"/>
      <w:numFmt w:val="decimal"/>
      <w:suff w:val="nothing"/>
      <w:lvlText w:val="（%1）"/>
      <w:lvlJc w:val="left"/>
    </w:lvl>
  </w:abstractNum>
  <w:abstractNum w:abstractNumId="3">
    <w:nsid w:val="AB87379A"/>
    <w:multiLevelType w:val="singleLevel"/>
    <w:tmpl w:val="AB87379A"/>
    <w:lvl w:ilvl="0" w:tentative="0">
      <w:start w:val="1"/>
      <w:numFmt w:val="decimal"/>
      <w:suff w:val="nothing"/>
      <w:lvlText w:val="（%1）"/>
      <w:lvlJc w:val="left"/>
    </w:lvl>
  </w:abstractNum>
  <w:abstractNum w:abstractNumId="4">
    <w:nsid w:val="B41D69B4"/>
    <w:multiLevelType w:val="singleLevel"/>
    <w:tmpl w:val="B41D69B4"/>
    <w:lvl w:ilvl="0" w:tentative="0">
      <w:start w:val="1"/>
      <w:numFmt w:val="decimal"/>
      <w:suff w:val="nothing"/>
      <w:lvlText w:val="（%1）"/>
      <w:lvlJc w:val="left"/>
    </w:lvl>
  </w:abstractNum>
  <w:abstractNum w:abstractNumId="5">
    <w:nsid w:val="B6ACCF64"/>
    <w:multiLevelType w:val="singleLevel"/>
    <w:tmpl w:val="B6ACCF64"/>
    <w:lvl w:ilvl="0" w:tentative="0">
      <w:start w:val="1"/>
      <w:numFmt w:val="decimal"/>
      <w:suff w:val="nothing"/>
      <w:lvlText w:val="（%1）"/>
      <w:lvlJc w:val="left"/>
      <w:pPr>
        <w:ind w:left="-120"/>
      </w:pPr>
    </w:lvl>
  </w:abstractNum>
  <w:abstractNum w:abstractNumId="6">
    <w:nsid w:val="197436D3"/>
    <w:multiLevelType w:val="multilevel"/>
    <w:tmpl w:val="197436D3"/>
    <w:lvl w:ilvl="0" w:tentative="0">
      <w:start w:val="1"/>
      <w:numFmt w:val="decimal"/>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pStyle w:val="4"/>
      <w:lvlText w:val="%1.%2.%3"/>
      <w:lvlJc w:val="left"/>
      <w:pPr>
        <w:ind w:left="0" w:firstLine="0"/>
      </w:pPr>
      <w:rPr>
        <w:rFonts w:hint="eastAsia"/>
        <w:color w:val="000000" w:themeColor="text1"/>
        <w14:textFill>
          <w14:solidFill>
            <w14:schemeClr w14:val="tx1"/>
          </w14:solidFill>
        </w14:textFill>
      </w:rPr>
    </w:lvl>
    <w:lvl w:ilvl="3" w:tentative="0">
      <w:start w:val="1"/>
      <w:numFmt w:val="decimal"/>
      <w:pStyle w:val="5"/>
      <w:lvlText w:val="%1.%2.%3.%4"/>
      <w:lvlJc w:val="left"/>
      <w:pPr>
        <w:ind w:left="0" w:firstLine="0"/>
      </w:pPr>
      <w:rPr>
        <w:rFonts w:hint="eastAsia"/>
      </w:rPr>
    </w:lvl>
    <w:lvl w:ilvl="4" w:tentative="0">
      <w:start w:val="1"/>
      <w:numFmt w:val="decimal"/>
      <w:pStyle w:val="6"/>
      <w:lvlText w:val="%1.%2.%3.%4.%5"/>
      <w:lvlJc w:val="left"/>
      <w:pPr>
        <w:ind w:left="0" w:firstLine="0"/>
      </w:pPr>
      <w:rPr>
        <w:rFonts w:hint="eastAsia"/>
      </w:rPr>
    </w:lvl>
    <w:lvl w:ilvl="5" w:tentative="0">
      <w:start w:val="1"/>
      <w:numFmt w:val="decimal"/>
      <w:pStyle w:val="7"/>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3F4A013A"/>
    <w:multiLevelType w:val="singleLevel"/>
    <w:tmpl w:val="3F4A013A"/>
    <w:lvl w:ilvl="0" w:tentative="0">
      <w:start w:val="1"/>
      <w:numFmt w:val="decimal"/>
      <w:suff w:val="nothing"/>
      <w:lvlText w:val="（%1）"/>
      <w:lvlJc w:val="left"/>
    </w:lvl>
  </w:abstractNum>
  <w:abstractNum w:abstractNumId="8">
    <w:nsid w:val="4AF0A7E6"/>
    <w:multiLevelType w:val="singleLevel"/>
    <w:tmpl w:val="4AF0A7E6"/>
    <w:lvl w:ilvl="0" w:tentative="0">
      <w:start w:val="1"/>
      <w:numFmt w:val="decimal"/>
      <w:suff w:val="nothing"/>
      <w:lvlText w:val="（%1）"/>
      <w:lvlJc w:val="left"/>
    </w:lvl>
  </w:abstractNum>
  <w:abstractNum w:abstractNumId="9">
    <w:nsid w:val="7E36D79E"/>
    <w:multiLevelType w:val="singleLevel"/>
    <w:tmpl w:val="7E36D79E"/>
    <w:lvl w:ilvl="0" w:tentative="0">
      <w:start w:val="1"/>
      <w:numFmt w:val="decimal"/>
      <w:suff w:val="nothing"/>
      <w:lvlText w:val="（%1）"/>
      <w:lvlJc w:val="left"/>
    </w:lvl>
  </w:abstractNum>
  <w:num w:numId="1">
    <w:abstractNumId w:val="6"/>
  </w:num>
  <w:num w:numId="2">
    <w:abstractNumId w:val="0"/>
  </w:num>
  <w:num w:numId="3">
    <w:abstractNumId w:val="8"/>
  </w:num>
  <w:num w:numId="4">
    <w:abstractNumId w:val="2"/>
  </w:num>
  <w:num w:numId="5">
    <w:abstractNumId w:val="7"/>
  </w:num>
  <w:num w:numId="6">
    <w:abstractNumId w:val="1"/>
  </w:num>
  <w:num w:numId="7">
    <w:abstractNumId w:val="3"/>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952"/>
    <w:rsid w:val="0009471F"/>
    <w:rsid w:val="00206455"/>
    <w:rsid w:val="0029379F"/>
    <w:rsid w:val="00316D9C"/>
    <w:rsid w:val="004C6535"/>
    <w:rsid w:val="005776AD"/>
    <w:rsid w:val="005F44FC"/>
    <w:rsid w:val="007C3541"/>
    <w:rsid w:val="008B2AE5"/>
    <w:rsid w:val="008D4C60"/>
    <w:rsid w:val="00AB6836"/>
    <w:rsid w:val="00B37128"/>
    <w:rsid w:val="00E0746C"/>
    <w:rsid w:val="00F050C2"/>
    <w:rsid w:val="00F26952"/>
    <w:rsid w:val="00F561B4"/>
    <w:rsid w:val="02025461"/>
    <w:rsid w:val="03A5079A"/>
    <w:rsid w:val="04E925BD"/>
    <w:rsid w:val="08687FE8"/>
    <w:rsid w:val="08731E12"/>
    <w:rsid w:val="08946BAA"/>
    <w:rsid w:val="0A8729A8"/>
    <w:rsid w:val="0C567A42"/>
    <w:rsid w:val="0E7A73B1"/>
    <w:rsid w:val="0F31382A"/>
    <w:rsid w:val="102D4B1A"/>
    <w:rsid w:val="115F0862"/>
    <w:rsid w:val="14186D67"/>
    <w:rsid w:val="14BC7375"/>
    <w:rsid w:val="14BE790E"/>
    <w:rsid w:val="14E95315"/>
    <w:rsid w:val="1593637A"/>
    <w:rsid w:val="16BA4105"/>
    <w:rsid w:val="1953261B"/>
    <w:rsid w:val="1A1B46D9"/>
    <w:rsid w:val="1A3B30B8"/>
    <w:rsid w:val="1A4C3F4C"/>
    <w:rsid w:val="1CC7757C"/>
    <w:rsid w:val="1D230C56"/>
    <w:rsid w:val="1D8471CE"/>
    <w:rsid w:val="1DB95116"/>
    <w:rsid w:val="21777AC2"/>
    <w:rsid w:val="22907573"/>
    <w:rsid w:val="25C7239A"/>
    <w:rsid w:val="267C4F33"/>
    <w:rsid w:val="26977FBF"/>
    <w:rsid w:val="26A9234C"/>
    <w:rsid w:val="2716093B"/>
    <w:rsid w:val="282B4A3A"/>
    <w:rsid w:val="286D7229"/>
    <w:rsid w:val="28FB5929"/>
    <w:rsid w:val="29AA157C"/>
    <w:rsid w:val="2A6D3510"/>
    <w:rsid w:val="2B0674C1"/>
    <w:rsid w:val="2B5D371B"/>
    <w:rsid w:val="2B9351F9"/>
    <w:rsid w:val="2ED81B64"/>
    <w:rsid w:val="2F095C25"/>
    <w:rsid w:val="2F854E58"/>
    <w:rsid w:val="2FEF6776"/>
    <w:rsid w:val="30C776F3"/>
    <w:rsid w:val="30D20571"/>
    <w:rsid w:val="31B934DF"/>
    <w:rsid w:val="323137D6"/>
    <w:rsid w:val="338A70D4"/>
    <w:rsid w:val="34B91E04"/>
    <w:rsid w:val="35213875"/>
    <w:rsid w:val="370A33AF"/>
    <w:rsid w:val="3AA7481D"/>
    <w:rsid w:val="3AA80595"/>
    <w:rsid w:val="3ACB2902"/>
    <w:rsid w:val="3CAA4150"/>
    <w:rsid w:val="3CE84C78"/>
    <w:rsid w:val="3D6F7148"/>
    <w:rsid w:val="40316936"/>
    <w:rsid w:val="4072585B"/>
    <w:rsid w:val="411A73CB"/>
    <w:rsid w:val="426C54DF"/>
    <w:rsid w:val="43236A0A"/>
    <w:rsid w:val="43884ABF"/>
    <w:rsid w:val="43AD4109"/>
    <w:rsid w:val="49EC6138"/>
    <w:rsid w:val="4D3F08E5"/>
    <w:rsid w:val="4E1E04FA"/>
    <w:rsid w:val="4E2D2E33"/>
    <w:rsid w:val="4F5C46DB"/>
    <w:rsid w:val="501716A5"/>
    <w:rsid w:val="50F04AF4"/>
    <w:rsid w:val="51145BE4"/>
    <w:rsid w:val="522B58DB"/>
    <w:rsid w:val="53096F47"/>
    <w:rsid w:val="537868FE"/>
    <w:rsid w:val="546A471F"/>
    <w:rsid w:val="56440315"/>
    <w:rsid w:val="578A6C00"/>
    <w:rsid w:val="597E09E7"/>
    <w:rsid w:val="5A224335"/>
    <w:rsid w:val="5B3F5F54"/>
    <w:rsid w:val="5C2A09B2"/>
    <w:rsid w:val="5C562E00"/>
    <w:rsid w:val="5DE84681"/>
    <w:rsid w:val="5E252B7A"/>
    <w:rsid w:val="5EBB622C"/>
    <w:rsid w:val="5EF02B73"/>
    <w:rsid w:val="5F13398C"/>
    <w:rsid w:val="603E2C7E"/>
    <w:rsid w:val="60783253"/>
    <w:rsid w:val="60803296"/>
    <w:rsid w:val="613C1835"/>
    <w:rsid w:val="61D54F1C"/>
    <w:rsid w:val="635335A3"/>
    <w:rsid w:val="63B23767"/>
    <w:rsid w:val="649B1826"/>
    <w:rsid w:val="65384140"/>
    <w:rsid w:val="664B1C51"/>
    <w:rsid w:val="68320F80"/>
    <w:rsid w:val="69F37010"/>
    <w:rsid w:val="6A8C09DF"/>
    <w:rsid w:val="6DAF616D"/>
    <w:rsid w:val="6DDD04AA"/>
    <w:rsid w:val="6E646F0A"/>
    <w:rsid w:val="6EF0509C"/>
    <w:rsid w:val="701B1F3F"/>
    <w:rsid w:val="719426FE"/>
    <w:rsid w:val="72A95EA8"/>
    <w:rsid w:val="76CF4528"/>
    <w:rsid w:val="77C25844"/>
    <w:rsid w:val="77E3618D"/>
    <w:rsid w:val="797F3E53"/>
    <w:rsid w:val="7B3158FE"/>
    <w:rsid w:val="7B9854E0"/>
    <w:rsid w:val="7DC64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qFormat/>
    <w:uiPriority w:val="99"/>
    <w:pPr>
      <w:spacing w:after="120"/>
    </w:pPr>
    <w:rPr>
      <w:rFonts w:ascii="Tahoma" w:hAnsi="Tahoma" w:eastAsia="等线" w:cs="Times New Roman"/>
    </w:rPr>
  </w:style>
  <w:style w:type="paragraph" w:styleId="10">
    <w:name w:val="Body Text Indent 3"/>
    <w:basedOn w:val="1"/>
    <w:qFormat/>
    <w:uiPriority w:val="0"/>
    <w:pPr>
      <w:widowControl/>
      <w:spacing w:before="60" w:after="60" w:line="280" w:lineRule="atLeast"/>
      <w:ind w:right="291" w:firstLine="400"/>
    </w:pPr>
    <w:rPr>
      <w:rFonts w:ascii="宋体"/>
      <w:kern w:val="0"/>
    </w:rPr>
  </w:style>
  <w:style w:type="paragraph" w:styleId="11">
    <w:name w:val="toc 2"/>
    <w:basedOn w:val="1"/>
    <w:next w:val="1"/>
    <w:qFormat/>
    <w:uiPriority w:val="39"/>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basedOn w:val="1"/>
    <w:next w:val="1"/>
    <w:qFormat/>
    <w:uiPriority w:val="0"/>
    <w:pPr>
      <w:jc w:val="center"/>
      <w:outlineLvl w:val="0"/>
    </w:pPr>
    <w:rPr>
      <w:rFonts w:ascii="Cambria" w:hAnsi="Cambria"/>
      <w:b/>
      <w:bCs/>
      <w:sz w:val="32"/>
      <w:szCs w:val="32"/>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paragraph" w:customStyle="1" w:styleId="18">
    <w:name w:val="楷体粗正文文字"/>
    <w:basedOn w:val="1"/>
    <w:next w:val="10"/>
    <w:autoRedefine/>
    <w:qFormat/>
    <w:uiPriority w:val="0"/>
    <w:pPr>
      <w:snapToGrid w:val="0"/>
      <w:spacing w:line="480" w:lineRule="exact"/>
      <w:ind w:firstLine="560"/>
    </w:pPr>
    <w:rPr>
      <w:sz w:val="28"/>
      <w:szCs w:val="20"/>
    </w:rPr>
  </w:style>
  <w:style w:type="character" w:customStyle="1" w:styleId="19">
    <w:name w:val="font101"/>
    <w:basedOn w:val="16"/>
    <w:qFormat/>
    <w:uiPriority w:val="0"/>
    <w:rPr>
      <w:rFonts w:hint="eastAsia" w:ascii="微软雅黑" w:hAnsi="微软雅黑" w:eastAsia="微软雅黑" w:cs="微软雅黑"/>
      <w:color w:val="000000"/>
      <w:sz w:val="20"/>
      <w:szCs w:val="20"/>
      <w:u w:val="none"/>
    </w:rPr>
  </w:style>
  <w:style w:type="character" w:customStyle="1" w:styleId="20">
    <w:name w:val="font81"/>
    <w:basedOn w:val="16"/>
    <w:qFormat/>
    <w:uiPriority w:val="0"/>
    <w:rPr>
      <w:rFonts w:hint="eastAsia" w:ascii="微软雅黑" w:hAnsi="微软雅黑" w:eastAsia="微软雅黑" w:cs="微软雅黑"/>
      <w:color w:val="000000"/>
      <w:sz w:val="20"/>
      <w:szCs w:val="20"/>
      <w:u w:val="none"/>
    </w:rPr>
  </w:style>
  <w:style w:type="character" w:customStyle="1" w:styleId="21">
    <w:name w:val="font151"/>
    <w:basedOn w:val="16"/>
    <w:qFormat/>
    <w:uiPriority w:val="0"/>
    <w:rPr>
      <w:rFonts w:hint="eastAsia" w:ascii="微软雅黑" w:hAnsi="微软雅黑" w:eastAsia="微软雅黑" w:cs="微软雅黑"/>
      <w:color w:val="DE3C36"/>
      <w:sz w:val="20"/>
      <w:szCs w:val="20"/>
      <w:u w:val="none"/>
    </w:rPr>
  </w:style>
  <w:style w:type="character" w:customStyle="1" w:styleId="22">
    <w:name w:val="font161"/>
    <w:basedOn w:val="16"/>
    <w:qFormat/>
    <w:uiPriority w:val="0"/>
    <w:rPr>
      <w:rFonts w:hint="eastAsia" w:ascii="微软雅黑" w:hAnsi="微软雅黑" w:eastAsia="微软雅黑" w:cs="微软雅黑"/>
      <w:color w:val="E74025"/>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7251</Words>
  <Characters>7401</Characters>
  <Lines>46</Lines>
  <Paragraphs>13</Paragraphs>
  <TotalTime>2</TotalTime>
  <ScaleCrop>false</ScaleCrop>
  <LinksUpToDate>false</LinksUpToDate>
  <CharactersWithSpaces>7508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2025-01-15T06:51:00Z</dcterms:created>
  <dc:creator>shhmu</dc:creator>
  <cp:lastModifiedBy></cp:lastModifiedBy>
  <dcterms:modified xsi:type="dcterms:W3CDTF">2025-12-08T03:07:09Z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eyJoZGlkIjoiZWEzMjBkYzQ0YmNjYTVmYzc4NDMzYjZjZGZiNjUyOTEiLCJ1c2VySWQiOiI2NjI1OTUwNjcifQ==</vt:lpwstr>
  </property>
  <property fmtid="{D5CDD505-2E9C-101B-9397-08002B2CF9AE}" pid="4" name="ICV">
    <vt:lpwstr>DFA03DBA51D84772B665AC71B6DC951B_13</vt:lpwstr>
  </property>
</Properties>
</file>