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0" w:firstLineChars="120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服务要求</w:t>
      </w:r>
    </w:p>
    <w:p>
      <w:pPr>
        <w:spacing w:line="360" w:lineRule="auto"/>
        <w:ind w:firstLine="420" w:firstLineChars="200"/>
      </w:pPr>
      <w:r>
        <w:rPr>
          <w:rFonts w:hint="eastAsia"/>
        </w:rPr>
        <w:t>等级医院评审数据精细化管理项目：参照等级医院评审的要求，针对等评体系所有指标统计口径进行强矩阵管理、归口管理、同质化管理和口径统一管理的辅导；针对新等评政策讲解各类指标填报、数据质量控制，指导医院建立并完善体系化、常态化、流程化的数据生产、传递、统计、质控、上报流程。并对具体指标口径和算法上对指标属性、指标定义、计算方法、指标导向、病案质量控制进行针对性辅导等，形成等评数据统计指标集，提供各项指标国标或省标或行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3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2023-08-04T02:56:21Z</dcterms:created>
  <dc:creator>Administrator</dc:creator>
  <cp:lastModifiedBy>Administrator</cp:lastModifiedBy>
  <dcterms:modified xsi:type="dcterms:W3CDTF">2023-08-04T02:57:27Z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