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Times New Roman"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sz w:val="36"/>
          <w:szCs w:val="36"/>
        </w:rPr>
      </w:pPr>
    </w:p>
    <w:p>
      <w:pPr>
        <w:spacing w:line="360" w:lineRule="auto"/>
        <w:rPr>
          <w:rFonts w:ascii="宋体" w:hAnsi="宋体" w:eastAsia="宋体" w:cs="Times New Roman"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b/>
          <w:bCs/>
          <w:sz w:val="48"/>
          <w:szCs w:val="36"/>
        </w:rPr>
      </w:pPr>
      <w:r>
        <w:rPr>
          <w:rFonts w:hint="eastAsia" w:ascii="宋体" w:hAnsi="宋体" w:eastAsia="宋体" w:cs="Times New Roman"/>
          <w:b/>
          <w:bCs/>
          <w:sz w:val="48"/>
          <w:szCs w:val="36"/>
        </w:rPr>
        <w:t>海南医学院第二附属医院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bCs/>
          <w:sz w:val="48"/>
          <w:szCs w:val="36"/>
        </w:rPr>
      </w:pPr>
      <w:r>
        <w:rPr>
          <w:rFonts w:hint="eastAsia" w:ascii="宋体" w:hAnsi="宋体" w:eastAsia="宋体" w:cs="Times New Roman"/>
          <w:b/>
          <w:bCs/>
          <w:sz w:val="48"/>
          <w:szCs w:val="36"/>
        </w:rPr>
        <w:t>UPS电池的货物及服务需求清单</w:t>
      </w:r>
    </w:p>
    <w:p>
      <w:pPr>
        <w:spacing w:line="360" w:lineRule="auto"/>
        <w:jc w:val="center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sz w:val="24"/>
          <w:szCs w:val="24"/>
        </w:rPr>
      </w:pPr>
    </w:p>
    <w:tbl>
      <w:tblPr>
        <w:tblStyle w:val="28"/>
        <w:tblW w:w="79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7"/>
        <w:gridCol w:w="50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82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525" w:hanging="525"/>
              <w:jc w:val="center"/>
              <w:rPr>
                <w:rFonts w:ascii="Times New Roman" w:hAnsi="Times New Roman" w:eastAsia="宋体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bCs/>
                <w:spacing w:val="20"/>
                <w:sz w:val="24"/>
                <w:szCs w:val="24"/>
              </w:rPr>
              <w:t>起草</w:t>
            </w:r>
          </w:p>
        </w:tc>
        <w:tc>
          <w:tcPr>
            <w:tcW w:w="50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20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2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525" w:hanging="525"/>
              <w:jc w:val="center"/>
              <w:rPr>
                <w:rFonts w:ascii="Times New Roman" w:hAnsi="Times New Roman" w:eastAsia="宋体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bCs/>
                <w:spacing w:val="20"/>
                <w:sz w:val="24"/>
                <w:szCs w:val="24"/>
              </w:rPr>
              <w:t>校核</w:t>
            </w:r>
          </w:p>
        </w:tc>
        <w:tc>
          <w:tcPr>
            <w:tcW w:w="5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pacing w:val="2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2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525" w:hanging="525"/>
              <w:jc w:val="center"/>
              <w:rPr>
                <w:rFonts w:ascii="Times New Roman" w:hAnsi="Times New Roman" w:eastAsia="宋体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bCs/>
                <w:spacing w:val="20"/>
                <w:sz w:val="24"/>
                <w:szCs w:val="24"/>
              </w:rPr>
              <w:t>审查</w:t>
            </w:r>
          </w:p>
        </w:tc>
        <w:tc>
          <w:tcPr>
            <w:tcW w:w="5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pacing w:val="2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2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525" w:hanging="525"/>
              <w:jc w:val="center"/>
              <w:rPr>
                <w:rFonts w:ascii="Times New Roman" w:hAnsi="Times New Roman" w:eastAsia="宋体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bCs/>
                <w:spacing w:val="20"/>
                <w:sz w:val="24"/>
                <w:szCs w:val="24"/>
              </w:rPr>
              <w:t>批准</w:t>
            </w:r>
          </w:p>
        </w:tc>
        <w:tc>
          <w:tcPr>
            <w:tcW w:w="5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楷体_GB2312" w:hAnsi="楷体_GB2312" w:eastAsia="宋体" w:cs="Times New Roman"/>
                <w:spacing w:val="2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202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年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月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21日</w:t>
      </w:r>
    </w:p>
    <w:p>
      <w:pPr>
        <w:spacing w:line="360" w:lineRule="auto"/>
        <w:jc w:val="center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sz w:val="24"/>
          <w:szCs w:val="24"/>
        </w:rPr>
      </w:pPr>
    </w:p>
    <w:p>
      <w:pPr>
        <w:keepNext/>
        <w:numPr>
          <w:ilvl w:val="0"/>
          <w:numId w:val="1"/>
        </w:numPr>
        <w:tabs>
          <w:tab w:val="left" w:pos="360"/>
        </w:tabs>
        <w:outlineLvl w:val="0"/>
        <w:rPr>
          <w:rFonts w:ascii="宋体" w:hAnsi="宋体" w:eastAsia="宋体" w:cs="Times New Roman"/>
          <w:b/>
          <w:color w:val="000000"/>
          <w:sz w:val="28"/>
          <w:szCs w:val="28"/>
        </w:rPr>
      </w:pPr>
      <w:bookmarkStart w:id="0" w:name="_前言"/>
      <w:bookmarkEnd w:id="0"/>
      <w:r>
        <w:rPr>
          <w:rFonts w:hint="eastAsia" w:ascii="宋体" w:hAnsi="宋体" w:eastAsia="宋体" w:cs="Times New Roman"/>
          <w:b/>
          <w:color w:val="000000"/>
          <w:sz w:val="28"/>
          <w:szCs w:val="28"/>
        </w:rPr>
        <w:t>项目背景</w:t>
      </w:r>
    </w:p>
    <w:p>
      <w:pPr>
        <w:ind w:firstLine="560" w:firstLineChars="200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我院中心机房于2018年投入使用，UPS电池使用至今已满五年，已到了需要更换的年限。</w:t>
      </w:r>
    </w:p>
    <w:p>
      <w:pPr>
        <w:ind w:firstLine="560" w:firstLineChars="200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 稳定的、多路的供电支持对于医院的中心机房来说是至关重要的，UPS电池在这其中是很重要的一部分。现UPS主机出现告警，提示电池故障，请专业厂家现场充放电检测之后，发现电池未能在固定时间内维持电压。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为了确保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中心机房电路的稳定</w:t>
      </w:r>
      <w:r>
        <w:rPr>
          <w:rFonts w:hint="eastAsia" w:ascii="Times New Roman" w:hAnsi="Times New Roman" w:eastAsia="宋体" w:cs="Times New Roman"/>
          <w:sz w:val="28"/>
          <w:szCs w:val="28"/>
        </w:rPr>
        <w:t>，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需更换电池。</w:t>
      </w:r>
    </w:p>
    <w:p>
      <w:pPr>
        <w:keepNext/>
        <w:numPr>
          <w:ilvl w:val="0"/>
          <w:numId w:val="1"/>
        </w:numPr>
        <w:tabs>
          <w:tab w:val="left" w:pos="360"/>
        </w:tabs>
        <w:outlineLvl w:val="0"/>
        <w:rPr>
          <w:rFonts w:ascii="宋体" w:hAnsi="宋体" w:eastAsia="宋体" w:cs="Times New Roman"/>
          <w:b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color w:val="000000"/>
          <w:sz w:val="28"/>
          <w:szCs w:val="28"/>
        </w:rPr>
        <w:t>采购预算</w:t>
      </w:r>
    </w:p>
    <w:p>
      <w:pPr>
        <w:ind w:left="42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采购预算价：￥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462720</w:t>
      </w:r>
      <w:r>
        <w:rPr>
          <w:rFonts w:ascii="Times New Roman" w:hAnsi="Times New Roman" w:eastAsia="宋体" w:cs="Times New Roman"/>
          <w:sz w:val="28"/>
          <w:szCs w:val="28"/>
        </w:rPr>
        <w:t>.00</w:t>
      </w:r>
      <w:r>
        <w:rPr>
          <w:rFonts w:hint="eastAsia" w:ascii="Times New Roman" w:hAnsi="Times New Roman" w:eastAsia="宋体" w:cs="Times New Roman"/>
          <w:sz w:val="28"/>
          <w:szCs w:val="28"/>
        </w:rPr>
        <w:t>元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设备清单</w:t>
      </w:r>
    </w:p>
    <w:tbl>
      <w:tblPr>
        <w:tblStyle w:val="29"/>
        <w:tblW w:w="9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3125"/>
        <w:gridCol w:w="2037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>设备</w:t>
            </w:r>
          </w:p>
        </w:tc>
        <w:tc>
          <w:tcPr>
            <w:tcW w:w="312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品牌/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型号</w:t>
            </w:r>
          </w:p>
        </w:tc>
        <w:tc>
          <w:tcPr>
            <w:tcW w:w="2037" w:type="dxa"/>
          </w:tcPr>
          <w:p>
            <w:pPr>
              <w:ind w:firstLine="422" w:firstLineChars="200"/>
              <w:rPr>
                <w:rFonts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数量</w:t>
            </w:r>
          </w:p>
        </w:tc>
        <w:tc>
          <w:tcPr>
            <w:tcW w:w="2020" w:type="dxa"/>
          </w:tcPr>
          <w:p>
            <w:pPr>
              <w:ind w:firstLine="422" w:firstLineChars="200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  <w:t>UPS电池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  <w:t>需服务商报</w:t>
            </w:r>
          </w:p>
        </w:tc>
        <w:tc>
          <w:tcPr>
            <w:tcW w:w="2037" w:type="dxa"/>
            <w:vAlign w:val="center"/>
          </w:tcPr>
          <w:p>
            <w:pPr>
              <w:ind w:firstLine="210" w:firstLineChars="10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  <w:t>2组共160节</w:t>
            </w:r>
          </w:p>
        </w:tc>
        <w:tc>
          <w:tcPr>
            <w:tcW w:w="2020" w:type="dxa"/>
            <w:vAlign w:val="center"/>
          </w:tcPr>
          <w:p>
            <w:pPr>
              <w:ind w:firstLine="210" w:firstLineChars="10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  <w:t>电池互联及其它插线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  <w:t>需服务商报</w:t>
            </w:r>
          </w:p>
        </w:tc>
        <w:tc>
          <w:tcPr>
            <w:tcW w:w="2037" w:type="dxa"/>
            <w:vAlign w:val="center"/>
          </w:tcPr>
          <w:p>
            <w:pPr>
              <w:ind w:firstLine="420" w:firstLineChars="20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020" w:type="dxa"/>
            <w:vAlign w:val="center"/>
          </w:tcPr>
          <w:p>
            <w:pPr>
              <w:ind w:firstLine="420" w:firstLineChars="20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  <w:t>UPS电池架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  <w:t>需服务商报</w:t>
            </w:r>
          </w:p>
        </w:tc>
        <w:tc>
          <w:tcPr>
            <w:tcW w:w="2037" w:type="dxa"/>
            <w:vAlign w:val="center"/>
          </w:tcPr>
          <w:p>
            <w:pPr>
              <w:ind w:firstLine="420" w:firstLineChars="20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02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  <w:t>假如原有的架子不满足新电池上架的条件，新的电池架产生的费用包含在中标金额的总价格里。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  <w:t>其它安装蓄电池时所需零件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  <w:t>需服务商报</w:t>
            </w:r>
          </w:p>
        </w:tc>
        <w:tc>
          <w:tcPr>
            <w:tcW w:w="2037" w:type="dxa"/>
            <w:vAlign w:val="center"/>
          </w:tcPr>
          <w:p>
            <w:pPr>
              <w:ind w:firstLine="420" w:firstLineChars="20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02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  <w:t>如：蓄电池需接入动环系统，假如现有的蓄电池上个别接入动环设备的线损坏，产生的费用均包含在中标金额的总价格内。</w:t>
            </w:r>
          </w:p>
        </w:tc>
      </w:tr>
    </w:tbl>
    <w:p>
      <w:pPr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货物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及服务要求</w:t>
      </w:r>
    </w:p>
    <w:p>
      <w:pP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ascii="Times New Roman" w:hAnsi="Times New Roman" w:eastAsia="宋体" w:cs="Times New Roman"/>
          <w:sz w:val="28"/>
          <w:szCs w:val="28"/>
        </w:rPr>
        <w:t>4</w:t>
      </w:r>
      <w:r>
        <w:rPr>
          <w:rFonts w:hint="eastAsia" w:ascii="Times New Roman" w:hAnsi="Times New Roman" w:eastAsia="宋体" w:cs="Times New Roman"/>
          <w:sz w:val="28"/>
          <w:szCs w:val="28"/>
        </w:rPr>
        <w:t>.1  在设备清单中列出的所有设备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及其它</w:t>
      </w:r>
      <w:r>
        <w:rPr>
          <w:rFonts w:hint="eastAsia" w:ascii="Times New Roman" w:hAnsi="Times New Roman" w:eastAsia="宋体" w:cs="Times New Roman"/>
          <w:sz w:val="28"/>
          <w:szCs w:val="28"/>
        </w:rPr>
        <w:t>包括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UPS电池</w:t>
      </w:r>
      <w:r>
        <w:rPr>
          <w:rFonts w:hint="eastAsia" w:ascii="Times New Roman" w:hAnsi="Times New Roman" w:eastAsia="宋体" w:cs="Times New Roman"/>
          <w:sz w:val="28"/>
          <w:szCs w:val="28"/>
        </w:rPr>
        <w:t>安装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时所需要</w:t>
      </w:r>
      <w:r>
        <w:rPr>
          <w:rFonts w:hint="eastAsia" w:ascii="Times New Roman" w:hAnsi="Times New Roman" w:eastAsia="宋体" w:cs="Times New Roman"/>
          <w:sz w:val="28"/>
          <w:szCs w:val="28"/>
        </w:rPr>
        <w:t>的所有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零件以</w:t>
      </w:r>
      <w:r>
        <w:rPr>
          <w:rFonts w:hint="eastAsia" w:ascii="Times New Roman" w:hAnsi="Times New Roman" w:eastAsia="宋体" w:cs="Times New Roman"/>
          <w:sz w:val="28"/>
          <w:szCs w:val="28"/>
        </w:rPr>
        <w:t>及其上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面</w:t>
      </w:r>
      <w:r>
        <w:rPr>
          <w:rFonts w:hint="eastAsia" w:ascii="Times New Roman" w:hAnsi="Times New Roman" w:eastAsia="宋体" w:cs="Times New Roman"/>
          <w:sz w:val="28"/>
          <w:szCs w:val="28"/>
        </w:rPr>
        <w:t>运行的软件均属于此次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采购</w:t>
      </w:r>
      <w:r>
        <w:rPr>
          <w:rFonts w:hint="eastAsia" w:ascii="Times New Roman" w:hAnsi="Times New Roman" w:eastAsia="宋体" w:cs="Times New Roman"/>
          <w:sz w:val="28"/>
          <w:szCs w:val="28"/>
        </w:rPr>
        <w:t>的内容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均包含在最终中标金额的总价格里面。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4.</w:t>
      </w:r>
      <w:r>
        <w:rPr>
          <w:rFonts w:hint="eastAsia" w:ascii="Times New Roman" w:hAnsi="Times New Roman" w:eastAsia="宋体" w:cs="Times New Roman"/>
          <w:sz w:val="28"/>
          <w:szCs w:val="28"/>
        </w:rPr>
        <w:t>2  设备服务要求如下：</w:t>
      </w:r>
    </w:p>
    <w:p>
      <w:pPr>
        <w:numPr>
          <w:ilvl w:val="0"/>
          <w:numId w:val="2"/>
        </w:num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服务商应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派人协助甲方处理更换下来的UPS蓄电池及相关配件（如：甲方需搬运去哪里存放等，服务商应派人协助处理）。</w:t>
      </w:r>
    </w:p>
    <w:p>
      <w:pPr>
        <w:numPr>
          <w:ilvl w:val="0"/>
          <w:numId w:val="2"/>
        </w:num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新安装的电池需接入我院现有的动环系统。如：原来的电池上接入动环的线损坏无法使用，更换新的线产生费用包含在最终中标金额的总价格里面。</w:t>
      </w:r>
    </w:p>
    <w:p>
      <w:pPr>
        <w:numPr>
          <w:ilvl w:val="0"/>
          <w:numId w:val="2"/>
        </w:num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服务商现场服务工程师具备相关技术能力处理解决问题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。</w:t>
      </w:r>
    </w:p>
    <w:p>
      <w:pPr>
        <w:numPr>
          <w:ilvl w:val="0"/>
          <w:numId w:val="2"/>
        </w:num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质保期3年。质保期内1年进行2</w:t>
      </w:r>
      <w:r>
        <w:rPr>
          <w:rFonts w:hint="eastAsia" w:ascii="Times New Roman" w:hAnsi="Times New Roman" w:eastAsia="宋体" w:cs="Times New Roman"/>
          <w:sz w:val="28"/>
          <w:szCs w:val="28"/>
        </w:rPr>
        <w:t>次由服务商技术支持工程师对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UPS电池</w:t>
      </w:r>
      <w:r>
        <w:rPr>
          <w:rFonts w:hint="eastAsia" w:ascii="Times New Roman" w:hAnsi="Times New Roman" w:eastAsia="宋体" w:cs="Times New Roman"/>
          <w:sz w:val="28"/>
          <w:szCs w:val="28"/>
        </w:rPr>
        <w:t>状况进行健康检查，并提供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UPS电池</w:t>
      </w:r>
      <w:r>
        <w:rPr>
          <w:rFonts w:hint="eastAsia" w:ascii="Times New Roman" w:hAnsi="Times New Roman" w:eastAsia="宋体" w:cs="Times New Roman"/>
          <w:sz w:val="28"/>
          <w:szCs w:val="28"/>
        </w:rPr>
        <w:t>健康检查报告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。</w:t>
      </w:r>
    </w:p>
    <w:p>
      <w:pPr>
        <w:numPr>
          <w:ilvl w:val="0"/>
          <w:numId w:val="2"/>
        </w:num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质保期内</w:t>
      </w:r>
      <w:r>
        <w:rPr>
          <w:rFonts w:hint="eastAsia" w:ascii="Times New Roman" w:hAnsi="Times New Roman" w:eastAsia="宋体" w:cs="Times New Roman"/>
          <w:sz w:val="28"/>
          <w:szCs w:val="28"/>
        </w:rPr>
        <w:t>提供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24小时电话及现场服务</w:t>
      </w:r>
      <w:r>
        <w:rPr>
          <w:rFonts w:hint="eastAsia" w:ascii="Times New Roman" w:hAnsi="Times New Roman" w:eastAsia="宋体" w:cs="Times New Roman"/>
          <w:sz w:val="28"/>
          <w:szCs w:val="28"/>
        </w:rPr>
        <w:t>支持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。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质保期内</w:t>
      </w:r>
      <w:r>
        <w:rPr>
          <w:rFonts w:hint="eastAsia" w:ascii="Times New Roman" w:hAnsi="Times New Roman" w:eastAsia="宋体" w:cs="Times New Roman"/>
          <w:sz w:val="28"/>
          <w:szCs w:val="28"/>
        </w:rPr>
        <w:t>在接到报修电话后，30分钟内响应，如果需要现场服务，服务商工程师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8"/>
          <w:szCs w:val="28"/>
        </w:rPr>
        <w:t>小时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内</w:t>
      </w:r>
      <w:r>
        <w:rPr>
          <w:rFonts w:hint="eastAsia" w:ascii="Times New Roman" w:hAnsi="Times New Roman" w:eastAsia="宋体" w:cs="Times New Roman"/>
          <w:sz w:val="28"/>
          <w:szCs w:val="28"/>
        </w:rPr>
        <w:t>到达现场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。</w:t>
      </w:r>
    </w:p>
    <w:p>
      <w:pPr>
        <w:numPr>
          <w:ilvl w:val="0"/>
          <w:numId w:val="2"/>
        </w:num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质保期内</w:t>
      </w:r>
      <w:r>
        <w:rPr>
          <w:rFonts w:hint="eastAsia" w:ascii="Times New Roman" w:hAnsi="Times New Roman" w:eastAsia="宋体" w:cs="Times New Roman"/>
          <w:sz w:val="28"/>
          <w:szCs w:val="28"/>
        </w:rPr>
        <w:t>每次故障处理完成，要求提供故障分析及处理报告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。</w:t>
      </w:r>
    </w:p>
    <w:p>
      <w:pPr>
        <w:numPr>
          <w:ilvl w:val="0"/>
          <w:numId w:val="2"/>
        </w:num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其它由正式合同详细补充说明。</w:t>
      </w:r>
    </w:p>
    <w:p>
      <w:pPr>
        <w:numPr>
          <w:ilvl w:val="0"/>
          <w:numId w:val="2"/>
        </w:num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质保期内</w:t>
      </w:r>
      <w:r>
        <w:rPr>
          <w:rFonts w:hint="eastAsia" w:ascii="Times New Roman" w:hAnsi="Times New Roman" w:eastAsia="宋体" w:cs="Times New Roman"/>
          <w:sz w:val="28"/>
          <w:szCs w:val="28"/>
        </w:rPr>
        <w:t>服务商完成各项服务内容并由我方对服务质量进行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年度</w:t>
      </w:r>
      <w:r>
        <w:rPr>
          <w:rFonts w:hint="eastAsia" w:ascii="Times New Roman" w:hAnsi="Times New Roman" w:eastAsia="宋体" w:cs="Times New Roman"/>
          <w:sz w:val="28"/>
          <w:szCs w:val="28"/>
        </w:rPr>
        <w:t>考核，未达到考核标准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扣除质保金（中标金额的5%）</w:t>
      </w:r>
      <w:r>
        <w:rPr>
          <w:rFonts w:hint="eastAsia" w:ascii="Times New Roman" w:hAnsi="Times New Roman" w:eastAsia="宋体" w:cs="Times New Roman"/>
          <w:sz w:val="28"/>
          <w:szCs w:val="28"/>
        </w:rPr>
        <w:t>。</w:t>
      </w:r>
    </w:p>
    <w:p>
      <w:pPr>
        <w:pStyle w:val="42"/>
        <w:ind w:left="720" w:firstLine="0" w:firstLineChars="0"/>
        <w:rPr>
          <w:rFonts w:hint="eastAsia"/>
          <w:sz w:val="28"/>
          <w:szCs w:val="28"/>
        </w:rPr>
      </w:pP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附件：服务质量考核表</w:t>
      </w:r>
    </w:p>
    <w:p>
      <w:pPr>
        <w:jc w:val="center"/>
        <w:rPr>
          <w:rFonts w:hAnsi="宋体"/>
          <w:b/>
          <w:i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Ansi="宋体"/>
          <w:b/>
          <w:i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hAnsi="宋体"/>
          <w:b/>
          <w:i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质量</w:t>
      </w:r>
      <w:r>
        <w:rPr>
          <w:rFonts w:hAnsi="宋体"/>
          <w:b/>
          <w:i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考核</w:t>
      </w:r>
      <w:r>
        <w:rPr>
          <w:rFonts w:hint="eastAsia" w:hAnsi="宋体"/>
          <w:b/>
          <w:i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p>
      <w:pPr>
        <w:jc w:val="center"/>
        <w:rPr>
          <w:sz w:val="28"/>
          <w:szCs w:val="28"/>
        </w:rPr>
      </w:pPr>
    </w:p>
    <w:tbl>
      <w:tblPr>
        <w:tblStyle w:val="28"/>
        <w:tblW w:w="93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514"/>
        <w:gridCol w:w="2025"/>
        <w:gridCol w:w="825"/>
        <w:gridCol w:w="427"/>
        <w:gridCol w:w="1607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服务项目</w:t>
            </w:r>
          </w:p>
        </w:tc>
        <w:tc>
          <w:tcPr>
            <w:tcW w:w="1514" w:type="dxa"/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服务</w:t>
            </w:r>
            <w:r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2025" w:type="dxa"/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825" w:type="dxa"/>
            <w:shd w:val="clear" w:color="auto" w:fill="BFBFBF"/>
            <w:vAlign w:val="center"/>
          </w:tcPr>
          <w:p>
            <w:pPr>
              <w:rPr>
                <w:rFonts w:hint="eastAsia" w:ascii="宋体" w:hAnsi="宋体" w:eastAsiaTheme="minorEastAsia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权重%</w:t>
            </w:r>
          </w:p>
        </w:tc>
        <w:tc>
          <w:tcPr>
            <w:tcW w:w="427" w:type="dxa"/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考核</w:t>
            </w:r>
            <w:r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周期</w:t>
            </w:r>
          </w:p>
        </w:tc>
        <w:tc>
          <w:tcPr>
            <w:tcW w:w="1607" w:type="dxa"/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710" w:type="dxa"/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25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定期巡检服务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1年2次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巡检服务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巡检后提供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巡检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半年</w:t>
            </w:r>
          </w:p>
        </w:tc>
        <w:tc>
          <w:tcPr>
            <w:tcW w:w="1607" w:type="dxa"/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125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保修期内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故障处理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蓄电池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故障</w:t>
            </w:r>
          </w:p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24小时电话及现场服务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支持</w:t>
            </w: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bookmarkStart w:id="1" w:name="_GoBack"/>
            <w:bookmarkEnd w:id="1"/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紧急故障在</w:t>
            </w: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分钟内响应，技术服务工程师</w:t>
            </w: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小时内到达现场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</w:tc>
        <w:tc>
          <w:tcPr>
            <w:tcW w:w="160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维保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服务完成情况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（权重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5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维保服务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完成质量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评估</w:t>
            </w:r>
          </w:p>
        </w:tc>
        <w:tc>
          <w:tcPr>
            <w:tcW w:w="45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优秀/优良/良好/较差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47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甲方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意见、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签字</w:t>
            </w:r>
          </w:p>
        </w:tc>
        <w:tc>
          <w:tcPr>
            <w:tcW w:w="45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签字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47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乙方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工程师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签字</w:t>
            </w:r>
          </w:p>
        </w:tc>
        <w:tc>
          <w:tcPr>
            <w:tcW w:w="45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签字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45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p>
      <w:pPr>
        <w:ind w:left="420"/>
        <w:rPr>
          <w:sz w:val="28"/>
          <w:szCs w:val="28"/>
        </w:rPr>
      </w:pPr>
    </w:p>
    <w:sectPr>
      <w:headerReference r:id="rId3" w:type="default"/>
      <w:pgSz w:w="11906" w:h="16838"/>
      <w:pgMar w:top="1134" w:right="1134" w:bottom="1134" w:left="113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rPr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020A"/>
    <w:multiLevelType w:val="multilevel"/>
    <w:tmpl w:val="20C9020A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b w:val="0"/>
        <w:color w:val="auto"/>
        <w:sz w:val="28"/>
        <w:szCs w:val="2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1B85782"/>
    <w:multiLevelType w:val="multilevel"/>
    <w:tmpl w:val="51B85782"/>
    <w:lvl w:ilvl="0" w:tentative="0">
      <w:start w:val="1"/>
      <w:numFmt w:val="bullet"/>
      <w:lvlText w:val=""/>
      <w:lvlJc w:val="left"/>
      <w:pPr>
        <w:ind w:left="440" w:hanging="44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CD"/>
    <w:rsid w:val="0003694F"/>
    <w:rsid w:val="00056AE8"/>
    <w:rsid w:val="0009409C"/>
    <w:rsid w:val="000A6E92"/>
    <w:rsid w:val="000C39DA"/>
    <w:rsid w:val="00105F29"/>
    <w:rsid w:val="00176753"/>
    <w:rsid w:val="001A6724"/>
    <w:rsid w:val="001C5DEA"/>
    <w:rsid w:val="001E45DE"/>
    <w:rsid w:val="00225829"/>
    <w:rsid w:val="00231B45"/>
    <w:rsid w:val="00277D4A"/>
    <w:rsid w:val="00281FB8"/>
    <w:rsid w:val="002D4878"/>
    <w:rsid w:val="002D5D64"/>
    <w:rsid w:val="002E1AA8"/>
    <w:rsid w:val="0030353A"/>
    <w:rsid w:val="00315E99"/>
    <w:rsid w:val="003260A2"/>
    <w:rsid w:val="00364EA0"/>
    <w:rsid w:val="0039338A"/>
    <w:rsid w:val="003E6487"/>
    <w:rsid w:val="00423DA3"/>
    <w:rsid w:val="004473EE"/>
    <w:rsid w:val="004C5B3C"/>
    <w:rsid w:val="004F755A"/>
    <w:rsid w:val="00522515"/>
    <w:rsid w:val="00565443"/>
    <w:rsid w:val="005924E5"/>
    <w:rsid w:val="005C1E50"/>
    <w:rsid w:val="005E5D64"/>
    <w:rsid w:val="005F362A"/>
    <w:rsid w:val="00663A7C"/>
    <w:rsid w:val="00683E32"/>
    <w:rsid w:val="006B5D0A"/>
    <w:rsid w:val="006D20C7"/>
    <w:rsid w:val="00710425"/>
    <w:rsid w:val="0073628E"/>
    <w:rsid w:val="007A2311"/>
    <w:rsid w:val="008668A4"/>
    <w:rsid w:val="008A2700"/>
    <w:rsid w:val="008E16B4"/>
    <w:rsid w:val="00916524"/>
    <w:rsid w:val="009419F4"/>
    <w:rsid w:val="00946046"/>
    <w:rsid w:val="009C6284"/>
    <w:rsid w:val="009E3B2A"/>
    <w:rsid w:val="009F3CF4"/>
    <w:rsid w:val="00A018C9"/>
    <w:rsid w:val="00A11B3B"/>
    <w:rsid w:val="00A27EA2"/>
    <w:rsid w:val="00A65B98"/>
    <w:rsid w:val="00B52FD1"/>
    <w:rsid w:val="00B67493"/>
    <w:rsid w:val="00B774D8"/>
    <w:rsid w:val="00B81B2F"/>
    <w:rsid w:val="00B81D92"/>
    <w:rsid w:val="00B87FCE"/>
    <w:rsid w:val="00BB6532"/>
    <w:rsid w:val="00BC69FC"/>
    <w:rsid w:val="00BF342A"/>
    <w:rsid w:val="00BF6841"/>
    <w:rsid w:val="00C24A6F"/>
    <w:rsid w:val="00C40A98"/>
    <w:rsid w:val="00C524CD"/>
    <w:rsid w:val="00C6063B"/>
    <w:rsid w:val="00C92FB5"/>
    <w:rsid w:val="00CA47A6"/>
    <w:rsid w:val="00D10154"/>
    <w:rsid w:val="00D35D84"/>
    <w:rsid w:val="00D731FC"/>
    <w:rsid w:val="00D732D2"/>
    <w:rsid w:val="00DC3FFE"/>
    <w:rsid w:val="00DC6F8C"/>
    <w:rsid w:val="00DD3AB8"/>
    <w:rsid w:val="00E0640F"/>
    <w:rsid w:val="00E2424F"/>
    <w:rsid w:val="00E316B2"/>
    <w:rsid w:val="00E3410F"/>
    <w:rsid w:val="00E36940"/>
    <w:rsid w:val="00E83BAE"/>
    <w:rsid w:val="00F144C7"/>
    <w:rsid w:val="00F2307B"/>
    <w:rsid w:val="00F73D1A"/>
    <w:rsid w:val="00F90963"/>
    <w:rsid w:val="015C2B95"/>
    <w:rsid w:val="03214AF9"/>
    <w:rsid w:val="0345573F"/>
    <w:rsid w:val="045C3C97"/>
    <w:rsid w:val="04884DE3"/>
    <w:rsid w:val="05334C6D"/>
    <w:rsid w:val="0752486C"/>
    <w:rsid w:val="0B52445F"/>
    <w:rsid w:val="0DA876C0"/>
    <w:rsid w:val="0E6F27C3"/>
    <w:rsid w:val="0EE87CD2"/>
    <w:rsid w:val="0F6A2FBE"/>
    <w:rsid w:val="10427008"/>
    <w:rsid w:val="11DF0793"/>
    <w:rsid w:val="12456F41"/>
    <w:rsid w:val="12541737"/>
    <w:rsid w:val="139F1544"/>
    <w:rsid w:val="13CE71DD"/>
    <w:rsid w:val="173B7A37"/>
    <w:rsid w:val="18AE2DF2"/>
    <w:rsid w:val="1C140CE5"/>
    <w:rsid w:val="1C6A6C07"/>
    <w:rsid w:val="1C9E0626"/>
    <w:rsid w:val="1CD77171"/>
    <w:rsid w:val="1D4A49BA"/>
    <w:rsid w:val="1D671944"/>
    <w:rsid w:val="1DDC73A6"/>
    <w:rsid w:val="1FD93915"/>
    <w:rsid w:val="22533E47"/>
    <w:rsid w:val="25A528A2"/>
    <w:rsid w:val="265B3D93"/>
    <w:rsid w:val="29A40617"/>
    <w:rsid w:val="2D1A49D1"/>
    <w:rsid w:val="2F543EF7"/>
    <w:rsid w:val="30166A18"/>
    <w:rsid w:val="32EA0904"/>
    <w:rsid w:val="32F22059"/>
    <w:rsid w:val="369A711A"/>
    <w:rsid w:val="37682CD5"/>
    <w:rsid w:val="38364856"/>
    <w:rsid w:val="38A52B08"/>
    <w:rsid w:val="39AA5D01"/>
    <w:rsid w:val="3AFA3B5C"/>
    <w:rsid w:val="3BE52281"/>
    <w:rsid w:val="3C5F5D16"/>
    <w:rsid w:val="3E4A1AA7"/>
    <w:rsid w:val="3ED86963"/>
    <w:rsid w:val="40A211D5"/>
    <w:rsid w:val="40A2289B"/>
    <w:rsid w:val="4151249E"/>
    <w:rsid w:val="41B93941"/>
    <w:rsid w:val="434763AC"/>
    <w:rsid w:val="43D54A63"/>
    <w:rsid w:val="44905920"/>
    <w:rsid w:val="449372B6"/>
    <w:rsid w:val="44A94565"/>
    <w:rsid w:val="44D50FC1"/>
    <w:rsid w:val="45176E3B"/>
    <w:rsid w:val="49C8484A"/>
    <w:rsid w:val="4A947E72"/>
    <w:rsid w:val="4CF928AA"/>
    <w:rsid w:val="4D8B2AD4"/>
    <w:rsid w:val="4ED07D03"/>
    <w:rsid w:val="4FB021D9"/>
    <w:rsid w:val="51160A6D"/>
    <w:rsid w:val="513A38E7"/>
    <w:rsid w:val="52F4651A"/>
    <w:rsid w:val="54526A8E"/>
    <w:rsid w:val="54A73E9A"/>
    <w:rsid w:val="563A0070"/>
    <w:rsid w:val="585826DF"/>
    <w:rsid w:val="58870F2D"/>
    <w:rsid w:val="58EE6F2F"/>
    <w:rsid w:val="5A4E2AB7"/>
    <w:rsid w:val="5B152EEE"/>
    <w:rsid w:val="5B3C71F0"/>
    <w:rsid w:val="5C3F6E68"/>
    <w:rsid w:val="5ECD2D39"/>
    <w:rsid w:val="6094025C"/>
    <w:rsid w:val="61E566F6"/>
    <w:rsid w:val="61EF71EF"/>
    <w:rsid w:val="621B1917"/>
    <w:rsid w:val="627427DB"/>
    <w:rsid w:val="63135F06"/>
    <w:rsid w:val="63F40BA0"/>
    <w:rsid w:val="6487762F"/>
    <w:rsid w:val="666F7FBA"/>
    <w:rsid w:val="67975657"/>
    <w:rsid w:val="6A105AB8"/>
    <w:rsid w:val="6AD048A1"/>
    <w:rsid w:val="6BAF6631"/>
    <w:rsid w:val="6BB711CF"/>
    <w:rsid w:val="6C595280"/>
    <w:rsid w:val="6E3B3AAD"/>
    <w:rsid w:val="6EE100A8"/>
    <w:rsid w:val="6EE7190F"/>
    <w:rsid w:val="70A70081"/>
    <w:rsid w:val="711F63CA"/>
    <w:rsid w:val="7195665D"/>
    <w:rsid w:val="748F100B"/>
    <w:rsid w:val="74D8739E"/>
    <w:rsid w:val="74F77E3C"/>
    <w:rsid w:val="75BF5135"/>
    <w:rsid w:val="7671381A"/>
    <w:rsid w:val="778018FD"/>
    <w:rsid w:val="77EA39F0"/>
    <w:rsid w:val="787C3398"/>
    <w:rsid w:val="7A79621C"/>
    <w:rsid w:val="7E7D3FE7"/>
    <w:rsid w:val="7E8119B7"/>
    <w:rsid w:val="7E881967"/>
    <w:rsid w:val="7F5D3D58"/>
    <w:rsid w:val="7F89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keepNext/>
      <w:outlineLvl w:val="0"/>
    </w:pPr>
    <w:rPr>
      <w:rFonts w:ascii="宋体" w:hAnsi="Times New Roman" w:eastAsia="宋体" w:cs="Times New Roman"/>
      <w:b/>
      <w:color w:val="000000"/>
      <w:sz w:val="24"/>
      <w:szCs w:val="20"/>
    </w:rPr>
  </w:style>
  <w:style w:type="paragraph" w:styleId="3">
    <w:name w:val="heading 2"/>
    <w:basedOn w:val="1"/>
    <w:next w:val="1"/>
    <w:link w:val="31"/>
    <w:qFormat/>
    <w:uiPriority w:val="0"/>
    <w:pPr>
      <w:keepNext/>
      <w:outlineLvl w:val="1"/>
    </w:pPr>
    <w:rPr>
      <w:rFonts w:ascii="幼圆" w:hAnsi="Times New Roman" w:eastAsia="幼圆" w:cs="Times New Roman"/>
      <w:b/>
      <w:color w:val="0000FF"/>
      <w:sz w:val="16"/>
      <w:szCs w:val="24"/>
    </w:rPr>
  </w:style>
  <w:style w:type="paragraph" w:styleId="4">
    <w:name w:val="heading 3"/>
    <w:basedOn w:val="1"/>
    <w:next w:val="1"/>
    <w:link w:val="4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semiHidden/>
    <w:qFormat/>
    <w:uiPriority w:val="0"/>
    <w:pPr>
      <w:ind w:left="1050"/>
      <w:jc w:val="left"/>
    </w:pPr>
    <w:rPr>
      <w:rFonts w:ascii="Times New Roman" w:hAnsi="Times New Roman" w:eastAsia="宋体" w:cs="Times New Roman"/>
      <w:sz w:val="20"/>
      <w:szCs w:val="20"/>
    </w:rPr>
  </w:style>
  <w:style w:type="paragraph" w:styleId="6">
    <w:name w:val="Body Text"/>
    <w:basedOn w:val="1"/>
    <w:link w:val="35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styleId="7">
    <w:name w:val="Body Text Indent"/>
    <w:basedOn w:val="1"/>
    <w:link w:val="32"/>
    <w:qFormat/>
    <w:uiPriority w:val="0"/>
    <w:pPr>
      <w:spacing w:line="360" w:lineRule="auto"/>
      <w:ind w:firstLine="540" w:firstLineChars="225"/>
    </w:pPr>
    <w:rPr>
      <w:rFonts w:ascii="Times New Roman" w:hAnsi="Times New Roman" w:eastAsia="宋体" w:cs="Times New Roman"/>
      <w:sz w:val="24"/>
      <w:szCs w:val="24"/>
    </w:rPr>
  </w:style>
  <w:style w:type="paragraph" w:styleId="8">
    <w:name w:val="toc 5"/>
    <w:basedOn w:val="1"/>
    <w:next w:val="1"/>
    <w:semiHidden/>
    <w:qFormat/>
    <w:uiPriority w:val="0"/>
    <w:pPr>
      <w:ind w:left="630"/>
      <w:jc w:val="left"/>
    </w:pPr>
    <w:rPr>
      <w:rFonts w:ascii="Times New Roman" w:hAnsi="Times New Roman" w:eastAsia="宋体" w:cs="Times New Roman"/>
      <w:sz w:val="20"/>
      <w:szCs w:val="20"/>
    </w:rPr>
  </w:style>
  <w:style w:type="paragraph" w:styleId="9">
    <w:name w:val="toc 3"/>
    <w:basedOn w:val="1"/>
    <w:next w:val="1"/>
    <w:semiHidden/>
    <w:qFormat/>
    <w:uiPriority w:val="0"/>
    <w:pPr>
      <w:ind w:left="210"/>
      <w:jc w:val="left"/>
    </w:pPr>
    <w:rPr>
      <w:rFonts w:ascii="Times New Roman" w:hAnsi="Times New Roman" w:eastAsia="宋体" w:cs="Times New Roman"/>
      <w:sz w:val="20"/>
      <w:szCs w:val="20"/>
    </w:rPr>
  </w:style>
  <w:style w:type="paragraph" w:styleId="10">
    <w:name w:val="toc 8"/>
    <w:basedOn w:val="1"/>
    <w:next w:val="1"/>
    <w:semiHidden/>
    <w:qFormat/>
    <w:uiPriority w:val="0"/>
    <w:pPr>
      <w:ind w:left="1260"/>
      <w:jc w:val="left"/>
    </w:pPr>
    <w:rPr>
      <w:rFonts w:ascii="Times New Roman" w:hAnsi="Times New Roman" w:eastAsia="宋体" w:cs="Times New Roman"/>
      <w:sz w:val="20"/>
      <w:szCs w:val="20"/>
    </w:rPr>
  </w:style>
  <w:style w:type="paragraph" w:styleId="11">
    <w:name w:val="Date"/>
    <w:basedOn w:val="1"/>
    <w:next w:val="1"/>
    <w:link w:val="36"/>
    <w:qFormat/>
    <w:uiPriority w:val="0"/>
    <w:pPr>
      <w:ind w:left="100" w:leftChars="2500"/>
    </w:pPr>
    <w:rPr>
      <w:rFonts w:ascii="Times New Roman" w:hAnsi="Times New Roman" w:eastAsia="宋体" w:cs="Times New Roman"/>
      <w:sz w:val="24"/>
      <w:szCs w:val="24"/>
    </w:rPr>
  </w:style>
  <w:style w:type="paragraph" w:styleId="12">
    <w:name w:val="Body Text Indent 2"/>
    <w:basedOn w:val="1"/>
    <w:link w:val="33"/>
    <w:qFormat/>
    <w:uiPriority w:val="0"/>
    <w:pPr>
      <w:spacing w:line="360" w:lineRule="auto"/>
      <w:ind w:left="540" w:firstLine="540" w:firstLineChars="225"/>
    </w:pPr>
    <w:rPr>
      <w:rFonts w:ascii="Times New Roman" w:hAnsi="Times New Roman" w:eastAsia="宋体" w:cs="Times New Roman"/>
      <w:sz w:val="24"/>
      <w:szCs w:val="24"/>
    </w:rPr>
  </w:style>
  <w:style w:type="paragraph" w:styleId="13">
    <w:name w:val="Balloon Text"/>
    <w:basedOn w:val="1"/>
    <w:link w:val="4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4">
    <w:name w:val="footer"/>
    <w:basedOn w:val="1"/>
    <w:link w:val="3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5">
    <w:name w:val="header"/>
    <w:basedOn w:val="1"/>
    <w:link w:val="3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6">
    <w:name w:val="toc 1"/>
    <w:basedOn w:val="1"/>
    <w:next w:val="1"/>
    <w:semiHidden/>
    <w:qFormat/>
    <w:uiPriority w:val="0"/>
    <w:pPr>
      <w:spacing w:before="360"/>
      <w:jc w:val="left"/>
    </w:pPr>
    <w:rPr>
      <w:rFonts w:ascii="Arial" w:hAnsi="Arial" w:eastAsia="宋体" w:cs="Arial"/>
      <w:b/>
      <w:bCs/>
      <w:caps/>
      <w:sz w:val="24"/>
      <w:szCs w:val="24"/>
    </w:rPr>
  </w:style>
  <w:style w:type="paragraph" w:styleId="17">
    <w:name w:val="toc 4"/>
    <w:basedOn w:val="1"/>
    <w:next w:val="1"/>
    <w:semiHidden/>
    <w:qFormat/>
    <w:uiPriority w:val="0"/>
    <w:pPr>
      <w:ind w:left="420"/>
      <w:jc w:val="left"/>
    </w:pPr>
    <w:rPr>
      <w:rFonts w:ascii="Times New Roman" w:hAnsi="Times New Roman" w:eastAsia="宋体" w:cs="Times New Roman"/>
      <w:sz w:val="20"/>
      <w:szCs w:val="20"/>
    </w:rPr>
  </w:style>
  <w:style w:type="paragraph" w:styleId="18">
    <w:name w:val="toc 6"/>
    <w:basedOn w:val="1"/>
    <w:next w:val="1"/>
    <w:semiHidden/>
    <w:qFormat/>
    <w:uiPriority w:val="0"/>
    <w:pPr>
      <w:ind w:left="840"/>
      <w:jc w:val="left"/>
    </w:pPr>
    <w:rPr>
      <w:rFonts w:ascii="Times New Roman" w:hAnsi="Times New Roman" w:eastAsia="宋体" w:cs="Times New Roman"/>
      <w:sz w:val="20"/>
      <w:szCs w:val="20"/>
    </w:rPr>
  </w:style>
  <w:style w:type="paragraph" w:styleId="19">
    <w:name w:val="Body Text Indent 3"/>
    <w:basedOn w:val="1"/>
    <w:link w:val="34"/>
    <w:qFormat/>
    <w:uiPriority w:val="0"/>
    <w:pPr>
      <w:tabs>
        <w:tab w:val="left" w:pos="1800"/>
      </w:tabs>
      <w:spacing w:line="360" w:lineRule="auto"/>
      <w:ind w:left="900" w:firstLine="540" w:firstLineChars="225"/>
    </w:pPr>
    <w:rPr>
      <w:rFonts w:ascii="Times New Roman" w:hAnsi="Times New Roman" w:eastAsia="宋体" w:cs="Times New Roman"/>
      <w:sz w:val="24"/>
      <w:szCs w:val="24"/>
    </w:rPr>
  </w:style>
  <w:style w:type="paragraph" w:styleId="20">
    <w:name w:val="toc 2"/>
    <w:basedOn w:val="1"/>
    <w:next w:val="1"/>
    <w:semiHidden/>
    <w:qFormat/>
    <w:uiPriority w:val="0"/>
    <w:pPr>
      <w:spacing w:before="240"/>
      <w:jc w:val="left"/>
    </w:pPr>
    <w:rPr>
      <w:rFonts w:ascii="Times New Roman" w:hAnsi="Times New Roman" w:eastAsia="宋体" w:cs="Times New Roman"/>
      <w:b/>
      <w:bCs/>
      <w:sz w:val="20"/>
      <w:szCs w:val="20"/>
    </w:rPr>
  </w:style>
  <w:style w:type="paragraph" w:styleId="21">
    <w:name w:val="toc 9"/>
    <w:basedOn w:val="1"/>
    <w:next w:val="1"/>
    <w:semiHidden/>
    <w:qFormat/>
    <w:uiPriority w:val="0"/>
    <w:pPr>
      <w:ind w:left="1470"/>
      <w:jc w:val="left"/>
    </w:pPr>
    <w:rPr>
      <w:rFonts w:ascii="Times New Roman" w:hAnsi="Times New Roman" w:eastAsia="宋体" w:cs="Times New Roman"/>
      <w:sz w:val="20"/>
      <w:szCs w:val="20"/>
    </w:rPr>
  </w:style>
  <w:style w:type="paragraph" w:styleId="2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24">
    <w:name w:val="Strong"/>
    <w:qFormat/>
    <w:uiPriority w:val="0"/>
    <w:rPr>
      <w:b/>
      <w:bCs/>
    </w:rPr>
  </w:style>
  <w:style w:type="character" w:styleId="25">
    <w:name w:val="page number"/>
    <w:basedOn w:val="23"/>
    <w:qFormat/>
    <w:uiPriority w:val="0"/>
  </w:style>
  <w:style w:type="character" w:styleId="26">
    <w:name w:val="FollowedHyperlink"/>
    <w:qFormat/>
    <w:uiPriority w:val="0"/>
    <w:rPr>
      <w:color w:val="800080"/>
      <w:u w:val="single"/>
    </w:rPr>
  </w:style>
  <w:style w:type="character" w:styleId="27">
    <w:name w:val="Hyperlink"/>
    <w:qFormat/>
    <w:uiPriority w:val="0"/>
    <w:rPr>
      <w:color w:val="0000FF"/>
      <w:u w:val="single"/>
    </w:rPr>
  </w:style>
  <w:style w:type="table" w:styleId="29">
    <w:name w:val="Table Grid"/>
    <w:basedOn w:val="28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30">
    <w:name w:val="标题 1 字符"/>
    <w:basedOn w:val="23"/>
    <w:link w:val="2"/>
    <w:qFormat/>
    <w:uiPriority w:val="0"/>
    <w:rPr>
      <w:rFonts w:ascii="宋体" w:hAnsi="Times New Roman" w:eastAsia="宋体" w:cs="Times New Roman"/>
      <w:b/>
      <w:color w:val="000000"/>
      <w:sz w:val="24"/>
      <w:szCs w:val="20"/>
    </w:rPr>
  </w:style>
  <w:style w:type="character" w:customStyle="1" w:styleId="31">
    <w:name w:val="标题 2 字符"/>
    <w:basedOn w:val="23"/>
    <w:link w:val="3"/>
    <w:qFormat/>
    <w:uiPriority w:val="0"/>
    <w:rPr>
      <w:rFonts w:ascii="幼圆" w:hAnsi="Times New Roman" w:eastAsia="幼圆" w:cs="Times New Roman"/>
      <w:b/>
      <w:color w:val="0000FF"/>
      <w:sz w:val="16"/>
      <w:szCs w:val="24"/>
    </w:rPr>
  </w:style>
  <w:style w:type="character" w:customStyle="1" w:styleId="32">
    <w:name w:val="正文文本缩进 字符"/>
    <w:basedOn w:val="23"/>
    <w:link w:val="7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33">
    <w:name w:val="正文文本缩进 2 字符"/>
    <w:basedOn w:val="23"/>
    <w:link w:val="12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34">
    <w:name w:val="正文文本缩进 3 字符"/>
    <w:basedOn w:val="23"/>
    <w:link w:val="19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35">
    <w:name w:val="正文文本 字符"/>
    <w:basedOn w:val="23"/>
    <w:link w:val="6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36">
    <w:name w:val="日期 字符"/>
    <w:basedOn w:val="23"/>
    <w:link w:val="11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37">
    <w:name w:val="页眉 字符"/>
    <w:basedOn w:val="23"/>
    <w:link w:val="1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8">
    <w:name w:val="页脚 字符"/>
    <w:basedOn w:val="23"/>
    <w:link w:val="1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9">
    <w:name w:val="f141"/>
    <w:qFormat/>
    <w:uiPriority w:val="0"/>
    <w:rPr>
      <w:spacing w:val="432"/>
      <w:sz w:val="20"/>
      <w:szCs w:val="20"/>
    </w:rPr>
  </w:style>
  <w:style w:type="character" w:customStyle="1" w:styleId="40">
    <w:name w:val="t21"/>
    <w:basedOn w:val="23"/>
    <w:qFormat/>
    <w:uiPriority w:val="0"/>
  </w:style>
  <w:style w:type="character" w:customStyle="1" w:styleId="41">
    <w:name w:val="批注框文本 字符"/>
    <w:basedOn w:val="23"/>
    <w:link w:val="1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2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3">
    <w:name w:val="tytytyty"/>
    <w:basedOn w:val="1"/>
    <w:link w:val="44"/>
    <w:qFormat/>
    <w:uiPriority w:val="0"/>
    <w:pPr>
      <w:spacing w:line="360" w:lineRule="auto"/>
      <w:ind w:left="359" w:leftChars="171" w:firstLine="480" w:firstLineChars="200"/>
    </w:pPr>
    <w:rPr>
      <w:rFonts w:ascii="Times New Roman" w:hAnsi="Times New Roman" w:eastAsia="宋体" w:cs="Times New Roman"/>
      <w:sz w:val="24"/>
      <w:szCs w:val="24"/>
      <w:lang w:val="zh-CN" w:eastAsia="zh-CN"/>
    </w:rPr>
  </w:style>
  <w:style w:type="character" w:customStyle="1" w:styleId="44">
    <w:name w:val="tytytyty Char1"/>
    <w:link w:val="43"/>
    <w:qFormat/>
    <w:uiPriority w:val="0"/>
    <w:rPr>
      <w:rFonts w:ascii="Times New Roman" w:hAnsi="Times New Roman" w:eastAsia="宋体" w:cs="Times New Roman"/>
      <w:sz w:val="24"/>
      <w:szCs w:val="24"/>
      <w:lang w:val="zh-CN" w:eastAsia="zh-CN"/>
    </w:rPr>
  </w:style>
  <w:style w:type="character" w:customStyle="1" w:styleId="45">
    <w:name w:val="标题 3 字符"/>
    <w:basedOn w:val="23"/>
    <w:link w:val="4"/>
    <w:semiHidden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287</Words>
  <Characters>1641</Characters>
  <Lines>13</Lines>
  <Paragraphs>3</Paragraphs>
  <TotalTime>0</TotalTime>
  <ScaleCrop>false</ScaleCrop>
  <LinksUpToDate>false</LinksUpToDate>
  <CharactersWithSpaces>1925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2023-03-23T00:09:00Z</dcterms:created>
  <dc:creator>hui zhang</dc:creator>
  <cp:lastModifiedBy>Administrator</cp:lastModifiedBy>
  <dcterms:modified xsi:type="dcterms:W3CDTF">2024-02-27T02:06:33Z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