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tabs>
          <w:tab w:val="clear" w:pos="312"/>
        </w:tabs>
        <w:spacing w:line="360" w:lineRule="auto"/>
        <w:rPr>
          <w:rFonts w:hint="eastAsia" w:ascii="仿宋" w:hAnsi="仿宋" w:eastAsia="仿宋" w:cs="仿宋"/>
          <w:b w:val="0"/>
          <w:bCs w:val="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highlight w:val="none"/>
        </w:rPr>
        <w:t>课程要求</w:t>
      </w:r>
      <w:r>
        <w:rPr>
          <w:rFonts w:hint="eastAsia" w:ascii="仿宋" w:hAnsi="仿宋" w:eastAsia="仿宋" w:cs="仿宋"/>
          <w:b w:val="0"/>
          <w:bCs w:val="0"/>
          <w:highlight w:val="none"/>
          <w:lang w:eastAsia="zh-CN"/>
        </w:rPr>
        <w:t>：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线上培训内容以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highlight w:val="none"/>
          <w:lang w:val="en-US"/>
        </w:rPr>
        <w:t>住院医师规范化培训（以下简称“住培”）管理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实际需求为导向，以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highlight w:val="none"/>
          <w:lang w:val="en-US"/>
        </w:rPr>
        <w:t>管理能力提升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为重点。课程目录应包括全部课程名称、教师姓名、教师单位、学时数等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培训课件及考试内容必须符合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海南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</w:rPr>
        <w:t>省住院医师规范化师资培训的要求，包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括但不限于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住培政策与制度、基地管理、教学督导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考核评价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师资队伍建设、服务保障和住培宣传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课件版权合法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。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按照每学时最高不超过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元（共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38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学时，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约150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以实际报名人数为准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）全部课件需均以视频形式呈现，分辨率不低于1280*720，码流不低于1000kbps。视频中讲课声音要洪亮清晰，无明显杂音。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试题要求：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每个视频后需配有配套试题，试题的内容需契合视频中的知识点。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在线培训功能要求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在线培训须同时支持PC端、移动端。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提供数据统计分析和数据导出功能，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直播时长、观看人数、最大在线人数、观看时长、进入时间、离开时间等；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val="en-US" w:eastAsia="zh-CN"/>
        </w:rPr>
        <w:t>线上平台学习时，学员可按学习状态筛选课程，能显示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已完成学时数、未完成学时数、进度；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lang w:val="en-US" w:eastAsia="zh-CN"/>
        </w:rPr>
        <w:t>考试功能：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应具备在线考试功能，可显示考试的名称，考试开始时间和结束时间，可设置提交试卷后是否显示分数、答案是否定时公布、是否打乱题序等。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CB17"/>
    <w:multiLevelType w:val="singleLevel"/>
    <w:tmpl w:val="0C15C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3617F"/>
    <w:rsid w:val="3D91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宋体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2024-04-12T07:44:00Z</dcterms:created>
  <dc:creator>Administrator</dc:creator>
  <cp:lastModifiedBy>二附院采购部</cp:lastModifiedBy>
  <dcterms:modified xsi:type="dcterms:W3CDTF">2024-04-12T07:52:04Z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