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t>海南医学院第二附属医院心理测试综合软件系统项目需求书</w:t>
      </w:r>
    </w:p>
    <w:p>
      <w:pPr>
        <w:pStyle w:val="2"/>
        <w:numPr>
          <w:ilvl w:val="0"/>
          <w:numId w:val="2"/>
        </w:numPr>
        <w:spacing w:before="156" w:beforeLines="50" w:after="156" w:afterLines="50" w:line="360" w:lineRule="auto"/>
        <w:rPr>
          <w:rFonts w:ascii="宋体" w:hAnsi="宋体" w:eastAsia="宋体"/>
          <w:sz w:val="28"/>
          <w:szCs w:val="28"/>
        </w:rPr>
      </w:pPr>
      <w:r>
        <w:rPr>
          <w:rFonts w:hint="eastAsia" w:ascii="宋体" w:hAnsi="宋体" w:eastAsia="宋体"/>
          <w:sz w:val="28"/>
          <w:szCs w:val="28"/>
        </w:rPr>
        <w:t>项目需求</w:t>
      </w:r>
    </w:p>
    <w:p>
      <w:pPr>
        <w:pStyle w:val="3"/>
        <w:numPr>
          <w:ilvl w:val="1"/>
          <w:numId w:val="2"/>
        </w:numPr>
        <w:spacing w:before="156" w:after="156"/>
        <w:rPr>
          <w:rFonts w:ascii="宋体" w:hAnsi="宋体" w:eastAsia="宋体"/>
          <w:sz w:val="28"/>
          <w:szCs w:val="28"/>
        </w:rPr>
      </w:pPr>
      <w:r>
        <w:rPr>
          <w:rFonts w:hint="eastAsia" w:ascii="宋体" w:hAnsi="宋体" w:eastAsia="宋体"/>
          <w:sz w:val="28"/>
          <w:szCs w:val="28"/>
        </w:rPr>
        <w:t>项目</w:t>
      </w:r>
      <w:r>
        <w:rPr>
          <w:rFonts w:hint="eastAsia" w:ascii="宋体" w:hAnsi="宋体" w:eastAsia="宋体"/>
          <w:sz w:val="28"/>
          <w:szCs w:val="28"/>
          <w:lang w:val="en-US" w:eastAsia="zh-CN"/>
        </w:rPr>
        <w:t>背景</w:t>
      </w:r>
    </w:p>
    <w:p>
      <w:pPr>
        <w:spacing w:before="156" w:beforeLines="50" w:after="156" w:afterLines="50" w:line="360" w:lineRule="auto"/>
        <w:ind w:firstLine="480" w:firstLineChars="200"/>
        <w:rPr>
          <w:rFonts w:hint="eastAsia"/>
          <w:sz w:val="24"/>
          <w:lang w:val="en-US" w:eastAsia="zh-CN"/>
        </w:rPr>
      </w:pPr>
      <w:r>
        <w:rPr>
          <w:rFonts w:hint="eastAsia" w:ascii="宋体" w:hAnsi="宋体" w:eastAsia="宋体" w:cs="宋体"/>
          <w:sz w:val="24"/>
        </w:rPr>
        <w:t>海南医学院第二附属医院</w:t>
      </w:r>
      <w:r>
        <w:rPr>
          <w:rFonts w:hint="eastAsia" w:ascii="宋体" w:hAnsi="宋体" w:eastAsia="宋体" w:cs="宋体"/>
          <w:sz w:val="24"/>
          <w:lang w:val="en-US" w:eastAsia="zh-CN"/>
        </w:rPr>
        <w:t>东湖分院开展睡眠心理科，需要心理测试综合软件系统协助完成心理测验，心理测验是一种比较严谨的技术手段，它从理论的提出、工具的制定，都要经过大量反复的论证和修订，到最后实际应用时，也要不断修订常模和验证效度。</w:t>
      </w:r>
    </w:p>
    <w:p>
      <w:pPr>
        <w:pStyle w:val="3"/>
        <w:numPr>
          <w:ilvl w:val="1"/>
          <w:numId w:val="2"/>
        </w:numPr>
        <w:spacing w:before="156" w:after="156"/>
        <w:rPr>
          <w:rFonts w:ascii="宋体" w:hAnsi="宋体" w:eastAsia="宋体" w:cs="Times New Roman"/>
          <w:kern w:val="0"/>
          <w:sz w:val="28"/>
          <w:szCs w:val="28"/>
          <w:lang w:val="zh-CN"/>
        </w:rPr>
      </w:pPr>
      <w:r>
        <w:rPr>
          <w:rFonts w:hint="eastAsia" w:ascii="宋体" w:hAnsi="宋体" w:eastAsia="宋体"/>
          <w:sz w:val="28"/>
          <w:szCs w:val="28"/>
        </w:rPr>
        <w:t>建设目标</w:t>
      </w:r>
    </w:p>
    <w:p>
      <w:pPr>
        <w:spacing w:before="156" w:beforeLines="50" w:after="156" w:afterLines="50" w:line="360" w:lineRule="auto"/>
        <w:ind w:firstLine="480" w:firstLineChars="200"/>
        <w:rPr>
          <w:rFonts w:hint="default" w:ascii="宋体" w:hAnsi="宋体" w:eastAsia="宋体" w:cs="宋体"/>
          <w:sz w:val="24"/>
          <w:lang w:val="en-US"/>
        </w:rPr>
      </w:pPr>
      <w:r>
        <w:rPr>
          <w:rFonts w:hint="eastAsia" w:ascii="宋体" w:hAnsi="宋体" w:eastAsia="宋体" w:cs="宋体"/>
          <w:sz w:val="24"/>
          <w:lang w:val="en-US" w:eastAsia="zh-CN"/>
        </w:rPr>
        <w:t>心理测验采取标准化、量化的原则，所得到的结果可以参照常模进行比较，可避免主观影响，使结果更加客观。心理测验系统对我科看诊有重要意义。安装心理测试综合软件系统以完成心理测验，协助临床诊断。</w:t>
      </w:r>
    </w:p>
    <w:p>
      <w:pPr>
        <w:pStyle w:val="3"/>
        <w:numPr>
          <w:ilvl w:val="1"/>
          <w:numId w:val="2"/>
        </w:numPr>
        <w:spacing w:before="156" w:after="156"/>
        <w:rPr>
          <w:rFonts w:ascii="宋体" w:hAnsi="宋体" w:eastAsia="宋体" w:cs="Times New Roman"/>
          <w:kern w:val="0"/>
          <w:sz w:val="24"/>
          <w:lang w:val="zh-CN"/>
        </w:rPr>
      </w:pPr>
      <w:r>
        <w:rPr>
          <w:rFonts w:hint="eastAsia" w:ascii="宋体" w:hAnsi="宋体" w:eastAsia="宋体"/>
          <w:sz w:val="28"/>
          <w:szCs w:val="28"/>
        </w:rPr>
        <w:t>建设内容</w:t>
      </w:r>
    </w:p>
    <w:p>
      <w:pPr>
        <w:pStyle w:val="3"/>
        <w:numPr>
          <w:ilvl w:val="1"/>
          <w:numId w:val="0"/>
        </w:numPr>
        <w:spacing w:before="156" w:after="156"/>
        <w:ind w:leftChars="0"/>
        <w:rPr>
          <w:rFonts w:ascii="宋体" w:hAnsi="宋体" w:eastAsia="宋体" w:cs="Times New Roman"/>
          <w:kern w:val="0"/>
          <w:sz w:val="24"/>
          <w:lang w:val="zh-CN"/>
        </w:rPr>
      </w:pPr>
      <w:r>
        <w:rPr>
          <w:rFonts w:hint="eastAsia" w:ascii="宋体" w:hAnsi="宋体" w:eastAsia="宋体" w:cs="Times New Roman"/>
          <w:kern w:val="0"/>
          <w:sz w:val="24"/>
          <w:lang w:val="zh-CN"/>
        </w:rPr>
        <w:t>本次项目建设内容清单如下：</w:t>
      </w:r>
    </w:p>
    <w:tbl>
      <w:tblPr>
        <w:tblStyle w:val="13"/>
        <w:tblW w:w="900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777"/>
        <w:gridCol w:w="1071"/>
        <w:gridCol w:w="994"/>
        <w:gridCol w:w="2096"/>
        <w:gridCol w:w="10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0" w:type="dxa"/>
            <w:gridSpan w:val="7"/>
            <w:noWrap/>
          </w:tcPr>
          <w:p>
            <w:pPr>
              <w:rPr>
                <w:rFonts w:ascii="宋体" w:hAnsi="宋体" w:eastAsia="宋体" w:cs="宋体"/>
                <w:szCs w:val="21"/>
              </w:rPr>
            </w:pPr>
            <w:r>
              <w:rPr>
                <w:rFonts w:hint="eastAsia" w:ascii="宋体" w:hAnsi="宋体" w:eastAsia="宋体" w:cs="宋体"/>
                <w:b/>
                <w:bCs/>
                <w:szCs w:val="21"/>
              </w:rPr>
              <w:t>软件部分：（含税预算</w:t>
            </w:r>
            <w:r>
              <w:rPr>
                <w:rFonts w:hint="eastAsia" w:ascii="宋体" w:hAnsi="宋体" w:eastAsia="宋体" w:cs="宋体"/>
                <w:b/>
                <w:bCs/>
                <w:color w:val="auto"/>
                <w:szCs w:val="21"/>
                <w:lang w:val="en-US" w:eastAsia="zh-CN"/>
              </w:rPr>
              <w:t>3</w:t>
            </w:r>
            <w:r>
              <w:rPr>
                <w:rFonts w:hint="eastAsia" w:ascii="宋体" w:hAnsi="宋体" w:eastAsia="宋体" w:cs="宋体"/>
                <w:b/>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noWrap/>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777" w:type="dxa"/>
            <w:noWrap/>
            <w:vAlign w:val="center"/>
          </w:tcPr>
          <w:p>
            <w:pPr>
              <w:jc w:val="center"/>
              <w:rPr>
                <w:rFonts w:ascii="宋体" w:hAnsi="宋体" w:eastAsia="宋体" w:cs="宋体"/>
                <w:b/>
                <w:bCs/>
                <w:szCs w:val="21"/>
              </w:rPr>
            </w:pPr>
            <w:r>
              <w:rPr>
                <w:rFonts w:hint="eastAsia" w:ascii="宋体" w:hAnsi="宋体" w:eastAsia="宋体" w:cs="宋体"/>
                <w:b/>
                <w:bCs/>
                <w:szCs w:val="21"/>
              </w:rPr>
              <w:t>建设大类</w:t>
            </w:r>
          </w:p>
        </w:tc>
        <w:tc>
          <w:tcPr>
            <w:tcW w:w="1071" w:type="dxa"/>
            <w:noWrap/>
            <w:vAlign w:val="center"/>
          </w:tcPr>
          <w:p>
            <w:pPr>
              <w:jc w:val="center"/>
              <w:rPr>
                <w:rFonts w:ascii="宋体" w:hAnsi="宋体" w:eastAsia="宋体" w:cs="宋体"/>
                <w:b/>
                <w:bCs/>
                <w:szCs w:val="21"/>
              </w:rPr>
            </w:pPr>
            <w:r>
              <w:rPr>
                <w:rFonts w:hint="eastAsia" w:ascii="宋体" w:hAnsi="宋体" w:eastAsia="宋体" w:cs="宋体"/>
                <w:b/>
                <w:bCs/>
                <w:szCs w:val="21"/>
              </w:rPr>
              <w:t>一级模块</w:t>
            </w:r>
          </w:p>
        </w:tc>
        <w:tc>
          <w:tcPr>
            <w:tcW w:w="994" w:type="dxa"/>
            <w:noWrap/>
            <w:vAlign w:val="center"/>
          </w:tcPr>
          <w:p>
            <w:pPr>
              <w:jc w:val="center"/>
              <w:rPr>
                <w:rFonts w:ascii="宋体" w:hAnsi="宋体" w:eastAsia="宋体" w:cs="宋体"/>
                <w:b/>
                <w:bCs/>
                <w:szCs w:val="21"/>
              </w:rPr>
            </w:pPr>
            <w:r>
              <w:rPr>
                <w:rFonts w:hint="eastAsia" w:ascii="宋体" w:hAnsi="宋体" w:eastAsia="宋体" w:cs="宋体"/>
                <w:b/>
                <w:bCs/>
                <w:szCs w:val="21"/>
              </w:rPr>
              <w:t>二级模块</w:t>
            </w:r>
          </w:p>
        </w:tc>
        <w:tc>
          <w:tcPr>
            <w:tcW w:w="2096" w:type="dxa"/>
            <w:noWrap/>
            <w:vAlign w:val="center"/>
          </w:tcPr>
          <w:p>
            <w:pPr>
              <w:jc w:val="center"/>
              <w:rPr>
                <w:rFonts w:ascii="宋体" w:hAnsi="宋体" w:eastAsia="宋体" w:cs="宋体"/>
                <w:b/>
                <w:bCs/>
                <w:szCs w:val="21"/>
              </w:rPr>
            </w:pPr>
            <w:r>
              <w:rPr>
                <w:rFonts w:hint="eastAsia" w:ascii="宋体" w:hAnsi="宋体" w:eastAsia="宋体" w:cs="宋体"/>
                <w:b/>
                <w:bCs/>
                <w:szCs w:val="21"/>
              </w:rPr>
              <w:t>三级模块</w:t>
            </w:r>
          </w:p>
        </w:tc>
        <w:tc>
          <w:tcPr>
            <w:tcW w:w="1000" w:type="dxa"/>
            <w:noWrap/>
            <w:vAlign w:val="center"/>
          </w:tcPr>
          <w:p>
            <w:pPr>
              <w:jc w:val="center"/>
              <w:rPr>
                <w:rFonts w:ascii="宋体" w:hAnsi="宋体" w:eastAsia="宋体" w:cs="宋体"/>
                <w:b/>
                <w:bCs/>
                <w:szCs w:val="21"/>
              </w:rPr>
            </w:pPr>
            <w:r>
              <w:rPr>
                <w:rFonts w:hint="eastAsia" w:ascii="宋体" w:hAnsi="宋体" w:eastAsia="宋体" w:cs="宋体"/>
                <w:b/>
                <w:bCs/>
                <w:szCs w:val="21"/>
              </w:rPr>
              <w:t>价格</w:t>
            </w:r>
          </w:p>
          <w:p>
            <w:pPr>
              <w:jc w:val="center"/>
              <w:rPr>
                <w:rFonts w:ascii="宋体" w:hAnsi="宋体" w:eastAsia="宋体" w:cs="宋体"/>
                <w:b/>
                <w:bCs/>
                <w:szCs w:val="21"/>
              </w:rPr>
            </w:pPr>
            <w:r>
              <w:rPr>
                <w:rFonts w:hint="eastAsia" w:ascii="宋体" w:hAnsi="宋体" w:eastAsia="宋体" w:cs="宋体"/>
                <w:b/>
                <w:bCs/>
                <w:szCs w:val="21"/>
              </w:rPr>
              <w:t>（万元）</w:t>
            </w:r>
          </w:p>
        </w:tc>
        <w:tc>
          <w:tcPr>
            <w:tcW w:w="1150" w:type="dxa"/>
            <w:noWrap/>
            <w:vAlign w:val="center"/>
          </w:tcPr>
          <w:p>
            <w:pPr>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noWrap/>
          </w:tcPr>
          <w:p>
            <w:pPr>
              <w:jc w:val="center"/>
              <w:rPr>
                <w:rFonts w:ascii="宋体" w:hAnsi="宋体" w:eastAsia="宋体" w:cs="宋体"/>
                <w:szCs w:val="21"/>
              </w:rPr>
            </w:pPr>
            <w:r>
              <w:rPr>
                <w:rFonts w:hint="eastAsia" w:ascii="宋体" w:hAnsi="宋体" w:eastAsia="宋体" w:cs="宋体"/>
                <w:szCs w:val="21"/>
              </w:rPr>
              <w:t>1</w:t>
            </w:r>
          </w:p>
        </w:tc>
        <w:tc>
          <w:tcPr>
            <w:tcW w:w="1777" w:type="dxa"/>
            <w:noWrap/>
          </w:tcPr>
          <w:p>
            <w:pPr>
              <w:rPr>
                <w:rFonts w:ascii="宋体" w:hAnsi="宋体" w:eastAsia="宋体" w:cs="宋体"/>
                <w:szCs w:val="21"/>
              </w:rPr>
            </w:pPr>
            <w:r>
              <w:rPr>
                <w:rFonts w:ascii="微软雅黑" w:hAnsi="微软雅黑" w:eastAsia="微软雅黑" w:cs="微软雅黑"/>
                <w:i w:val="0"/>
                <w:caps w:val="0"/>
                <w:color w:val="000000"/>
                <w:spacing w:val="0"/>
                <w:sz w:val="24"/>
                <w:szCs w:val="24"/>
                <w:shd w:val="clear" w:fill="FFFFFF"/>
              </w:rPr>
              <w:t>心理测验综合软件系统</w:t>
            </w:r>
          </w:p>
        </w:tc>
        <w:tc>
          <w:tcPr>
            <w:tcW w:w="1071" w:type="dxa"/>
            <w:noWrap/>
          </w:tcPr>
          <w:p>
            <w:pPr>
              <w:rPr>
                <w:rFonts w:ascii="宋体" w:hAnsi="宋体" w:eastAsia="宋体" w:cs="宋体"/>
                <w:szCs w:val="21"/>
              </w:rPr>
            </w:pPr>
          </w:p>
        </w:tc>
        <w:tc>
          <w:tcPr>
            <w:tcW w:w="994" w:type="dxa"/>
            <w:noWrap/>
          </w:tcPr>
          <w:p>
            <w:pPr>
              <w:rPr>
                <w:rFonts w:ascii="宋体" w:hAnsi="宋体" w:eastAsia="宋体" w:cs="宋体"/>
                <w:szCs w:val="21"/>
              </w:rPr>
            </w:pPr>
          </w:p>
        </w:tc>
        <w:tc>
          <w:tcPr>
            <w:tcW w:w="2096" w:type="dxa"/>
            <w:noWrap/>
          </w:tcPr>
          <w:p>
            <w:pPr>
              <w:rPr>
                <w:rFonts w:ascii="宋体" w:hAnsi="宋体" w:eastAsia="宋体" w:cs="宋体"/>
                <w:szCs w:val="21"/>
              </w:rPr>
            </w:pPr>
          </w:p>
        </w:tc>
        <w:tc>
          <w:tcPr>
            <w:tcW w:w="1000" w:type="dxa"/>
            <w:noWrap/>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3.00</w:t>
            </w:r>
          </w:p>
        </w:tc>
        <w:tc>
          <w:tcPr>
            <w:tcW w:w="1150" w:type="dxa"/>
            <w:noWrap/>
          </w:tcPr>
          <w:p>
            <w:pPr>
              <w:rPr>
                <w:rFonts w:ascii="宋体" w:hAnsi="宋体" w:eastAsia="宋体" w:cs="宋体"/>
                <w:szCs w:val="21"/>
              </w:rPr>
            </w:pPr>
          </w:p>
        </w:tc>
      </w:tr>
    </w:tbl>
    <w:p/>
    <w:p>
      <w:pPr>
        <w:pStyle w:val="3"/>
        <w:numPr>
          <w:ilvl w:val="1"/>
          <w:numId w:val="2"/>
        </w:numPr>
        <w:spacing w:before="156" w:beforeLines="50" w:after="156" w:afterLines="50"/>
        <w:rPr>
          <w:rFonts w:ascii="宋体" w:hAnsi="宋体" w:eastAsia="宋体" w:cs="Times New Roman"/>
          <w:kern w:val="0"/>
          <w:sz w:val="28"/>
          <w:szCs w:val="28"/>
        </w:rPr>
      </w:pPr>
      <w:r>
        <w:rPr>
          <w:rFonts w:hint="eastAsia" w:ascii="宋体" w:hAnsi="宋体" w:eastAsia="宋体"/>
          <w:sz w:val="28"/>
          <w:szCs w:val="28"/>
        </w:rPr>
        <w:t>技术要求</w:t>
      </w:r>
      <w:bookmarkStart w:id="0" w:name="_GoBack"/>
      <w:bookmarkEnd w:id="0"/>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1、投标人应具备较好的医疗信息化创新能力、开发能力和实施交付能力，并具备医疗信息化领域的质量管理、信息技术服务管理、信息安全管理等的全流程管理体系。</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2、投标人应充分理解本次项目的建设内容和目标需求，提出符合医院实际应用需求的具有针对性的整体解决方案，并能对项目过程中的重难点做出分析，提出相应的技术应对方案并阐述自身优势。</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4、本次项目投标人还应充分考虑海医二附院现有系统的数据继承问题，确保现有系统数据可以继续使用。</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、本次项目涉及的系统产生或利用的数据涉及到大量患者隐私，投标人应做好相应的信息安全保障设计，应具备医疗卫生信息数据的安全应用软件开发能力和医疗卫生数据加密处理能力。</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、投标人应具备高性能医疗卫生软件的开发能力，投标产品应充分考虑到医院大业务量环境下的运行效率。</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、项目实施期间，如因政策变化或医院管理流程变更的原因，需要对系统进行相应的客户化修改，投标人须无条件满足。</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、为确保项目交付后系统的稳定可靠运行，投标人中标交付后需要提供专业的售后服务，投标人应具备较好的医院软件运维信息化管理能力和服务体系。</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、投标人在项目实施及服务过程中，应遵循知识产权管理体系做好文档管理工作，在项目验收时进行相关文档的移交，文档资料必须符合软件工程的相关要求，并提供明确的交付清单。</w:t>
      </w:r>
    </w:p>
    <w:p>
      <w:pPr>
        <w:pStyle w:val="3"/>
        <w:numPr>
          <w:ilvl w:val="1"/>
          <w:numId w:val="2"/>
        </w:numPr>
        <w:spacing w:before="156" w:beforeLines="50" w:after="156" w:afterLines="50"/>
        <w:rPr>
          <w:rFonts w:hint="eastAsia" w:ascii="宋体" w:hAnsi="宋体" w:eastAsia="宋体" w:cs="宋体"/>
          <w:sz w:val="24"/>
          <w:szCs w:val="24"/>
        </w:rPr>
      </w:pPr>
      <w:r>
        <w:rPr>
          <w:rFonts w:hint="eastAsia" w:ascii="宋体" w:hAnsi="宋体" w:eastAsia="宋体" w:cs="宋体"/>
          <w:sz w:val="24"/>
          <w:szCs w:val="24"/>
        </w:rPr>
        <w:t>功能要求（此部分分条详细介绍前文建设清单中的所有模块）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1.6.1量表测试功能：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1）智力类：瑞文标准推理测验、瑞文高级推理测验、团体智力测验；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（2）个性人格类：明尼苏达多相人格测验、卡特尔16种个性因素测验、爱德华个性偏好测验、艾森克个性测验（成人）、艾森克个性测验（儿童）、气质问卷、心理健康测查表；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（3）心理健康综合筛查类：90项症状清单（SCL90）、一般健康问卷、康奈尔医学指数、大学生心理健康调查表；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（4）情绪类：抑郁自评量表、贝克抑郁问卷、焦虑自评量表、汉密顿焦虑量表、汉密顿</w:t>
      </w:r>
      <w:r>
        <w:rPr>
          <w:rFonts w:hint="eastAsia" w:ascii="宋体" w:hAnsi="宋体" w:eastAsia="宋体" w:cs="宋体"/>
          <w:sz w:val="24"/>
          <w:szCs w:val="24"/>
          <w:lang w:val="en-US" w:eastAsia="zh-CN"/>
        </w:rPr>
        <w:t>抑郁</w:t>
      </w:r>
      <w:r>
        <w:rPr>
          <w:rFonts w:hint="eastAsia" w:ascii="宋体" w:hAnsi="宋体" w:eastAsia="宋体" w:cs="宋体"/>
          <w:sz w:val="24"/>
          <w:szCs w:val="24"/>
        </w:rPr>
        <w:t>量表、贝克焦虑量表、社交焦虑量表、社交回避及苦恼量表等</w:t>
      </w:r>
      <w:r>
        <w:rPr>
          <w:rFonts w:hint="eastAsia" w:ascii="宋体" w:hAnsi="宋体" w:eastAsia="宋体" w:cs="宋体"/>
          <w:sz w:val="24"/>
          <w:szCs w:val="24"/>
          <w:lang w:eastAsia="zh-CN"/>
        </w:rPr>
        <w:t>、</w:t>
      </w:r>
      <w:r>
        <w:rPr>
          <w:rFonts w:hint="eastAsia" w:ascii="宋体" w:hAnsi="宋体" w:eastAsia="宋体" w:cs="宋体"/>
          <w:sz w:val="24"/>
          <w:szCs w:val="24"/>
        </w:rPr>
        <w:t>情绪-社交孤独问卷（ESLI）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情感量表：正性情感、负性情感、情感平衡；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（5）精神科常用量表类：简明精神病量表、精神症状全面量表、躁狂量表、阴性量表、阳性量表、副反应量表、ValeBrown强迫量表等</w:t>
      </w:r>
      <w:r>
        <w:rPr>
          <w:rFonts w:hint="eastAsia" w:ascii="宋体" w:hAnsi="宋体" w:eastAsia="宋体" w:cs="宋体"/>
          <w:sz w:val="24"/>
          <w:szCs w:val="24"/>
          <w:lang w:eastAsia="zh-CN"/>
        </w:rPr>
        <w:t>、</w:t>
      </w:r>
      <w:r>
        <w:rPr>
          <w:rFonts w:hint="eastAsia" w:ascii="宋体" w:hAnsi="宋体" w:eastAsia="宋体" w:cs="宋体"/>
          <w:sz w:val="24"/>
          <w:szCs w:val="24"/>
        </w:rPr>
        <w:t>抗抑郁药副反应量表</w:t>
      </w:r>
      <w:r>
        <w:rPr>
          <w:rFonts w:hint="eastAsia" w:ascii="宋体" w:hAnsi="宋体" w:eastAsia="宋体" w:cs="宋体"/>
          <w:sz w:val="24"/>
          <w:szCs w:val="24"/>
          <w:lang w:eastAsia="zh-CN"/>
        </w:rPr>
        <w:t>、</w:t>
      </w:r>
      <w:r>
        <w:rPr>
          <w:rFonts w:hint="eastAsia" w:ascii="宋体" w:hAnsi="宋体" w:eastAsia="宋体" w:cs="宋体"/>
          <w:sz w:val="24"/>
          <w:szCs w:val="24"/>
        </w:rPr>
        <w:t>锥体外系副反应量表；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（6）老年及其他评定量表类：老年临床评定量表、老年抑郁量表、痴呆简易筛查表、儿童行为量表、个人评价问卷等</w:t>
      </w:r>
      <w:r>
        <w:rPr>
          <w:rFonts w:hint="eastAsia" w:ascii="宋体" w:hAnsi="宋体" w:eastAsia="宋体" w:cs="宋体"/>
          <w:sz w:val="24"/>
          <w:szCs w:val="24"/>
          <w:lang w:eastAsia="zh-CN"/>
        </w:rPr>
        <w:t>、</w:t>
      </w:r>
      <w:r>
        <w:rPr>
          <w:rFonts w:hint="eastAsia" w:ascii="宋体" w:hAnsi="宋体" w:eastAsia="宋体" w:cs="宋体"/>
          <w:sz w:val="24"/>
          <w:szCs w:val="24"/>
        </w:rPr>
        <w:t>社交回避及苦恼量表（SAD）</w:t>
      </w:r>
      <w:r>
        <w:rPr>
          <w:rFonts w:hint="eastAsia" w:ascii="宋体" w:hAnsi="宋体" w:eastAsia="宋体" w:cs="宋体"/>
          <w:sz w:val="24"/>
          <w:szCs w:val="24"/>
          <w:lang w:eastAsia="zh-CN"/>
        </w:rPr>
        <w:t>、</w:t>
      </w:r>
      <w:r>
        <w:rPr>
          <w:rFonts w:hint="eastAsia" w:ascii="宋体" w:hAnsi="宋体" w:eastAsia="宋体" w:cs="宋体"/>
          <w:sz w:val="24"/>
          <w:szCs w:val="24"/>
        </w:rPr>
        <w:t>缺血指数量表</w:t>
      </w:r>
      <w:r>
        <w:rPr>
          <w:rFonts w:hint="eastAsia" w:ascii="宋体" w:hAnsi="宋体" w:eastAsia="宋体" w:cs="宋体"/>
          <w:sz w:val="24"/>
          <w:szCs w:val="24"/>
          <w:lang w:eastAsia="zh-CN"/>
        </w:rPr>
        <w:t>、</w:t>
      </w:r>
      <w:r>
        <w:rPr>
          <w:rFonts w:hint="eastAsia" w:ascii="宋体" w:hAnsi="宋体" w:eastAsia="宋体" w:cs="宋体"/>
          <w:sz w:val="24"/>
          <w:szCs w:val="24"/>
        </w:rPr>
        <w:t>长谷川痴呆量表（HDS）；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（7）亚健康状况类：A型行为</w:t>
      </w:r>
      <w:r>
        <w:rPr>
          <w:rFonts w:hint="eastAsia" w:ascii="宋体" w:hAnsi="宋体" w:eastAsia="宋体" w:cs="宋体"/>
          <w:sz w:val="24"/>
          <w:szCs w:val="24"/>
          <w:lang w:val="en-US" w:eastAsia="zh-CN"/>
        </w:rPr>
        <w:t>类型问卷</w:t>
      </w:r>
      <w:r>
        <w:rPr>
          <w:rFonts w:hint="eastAsia" w:ascii="宋体" w:hAnsi="宋体" w:eastAsia="宋体" w:cs="宋体"/>
          <w:sz w:val="24"/>
          <w:szCs w:val="24"/>
        </w:rPr>
        <w:t>、疲劳量表、匹兹堡睡眠质量指数、UCLA孤独量表、阿森斯失眠量表；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（8）应激及相关类：防御方式问卷</w:t>
      </w:r>
      <w:r>
        <w:rPr>
          <w:rFonts w:hint="eastAsia" w:ascii="宋体" w:hAnsi="宋体" w:eastAsia="宋体" w:cs="宋体"/>
          <w:sz w:val="24"/>
          <w:szCs w:val="24"/>
          <w:lang w:eastAsia="zh-CN"/>
        </w:rPr>
        <w:t>、</w:t>
      </w:r>
      <w:r>
        <w:rPr>
          <w:rFonts w:hint="eastAsia" w:ascii="宋体" w:hAnsi="宋体" w:eastAsia="宋体" w:cs="宋体"/>
          <w:sz w:val="24"/>
          <w:szCs w:val="24"/>
        </w:rPr>
        <w:t>惧怕否定评价量表（FNE）、应付方式问卷、生活事件量表、社会支持评定量表、简易应对方式；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（9）婚姻家庭及生活满意度类：家庭环境量表、情感量表、生活满意度量表、生存质量测定量表、健康状况问卷、婚姻满意度问卷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OLSON婚姻质量问卷</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rPr>
        <w:t>CONNER’S父母量表；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有量表介绍、测试、查询、随访、统计分析等功能，能协助完成临床工作即可。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w:t>
      </w:r>
      <w:r>
        <w:rPr>
          <w:rFonts w:hint="eastAsia" w:ascii="宋体" w:hAnsi="宋体" w:eastAsia="宋体" w:cs="宋体"/>
          <w:sz w:val="24"/>
          <w:szCs w:val="24"/>
        </w:rPr>
        <w:t>日常生活能力量表（ADL）</w:t>
      </w:r>
      <w:r>
        <w:rPr>
          <w:rFonts w:hint="eastAsia" w:ascii="宋体" w:hAnsi="宋体" w:eastAsia="宋体" w:cs="宋体"/>
          <w:sz w:val="24"/>
          <w:szCs w:val="24"/>
          <w:lang w:eastAsia="zh-CN"/>
        </w:rPr>
        <w:t>、</w:t>
      </w:r>
      <w:r>
        <w:rPr>
          <w:rFonts w:hint="eastAsia" w:ascii="宋体" w:hAnsi="宋体" w:eastAsia="宋体" w:cs="宋体"/>
          <w:sz w:val="24"/>
          <w:szCs w:val="24"/>
        </w:rPr>
        <w:t>社会功能缺陷筛选量表</w:t>
      </w:r>
      <w:r>
        <w:rPr>
          <w:rFonts w:hint="eastAsia" w:ascii="宋体" w:hAnsi="宋体" w:eastAsia="宋体" w:cs="宋体"/>
          <w:sz w:val="24"/>
          <w:szCs w:val="24"/>
          <w:lang w:eastAsia="zh-CN"/>
        </w:rPr>
        <w:t>、</w:t>
      </w:r>
      <w:r>
        <w:rPr>
          <w:rFonts w:hint="eastAsia" w:ascii="宋体" w:hAnsi="宋体" w:eastAsia="宋体" w:cs="宋体"/>
          <w:sz w:val="24"/>
          <w:szCs w:val="24"/>
        </w:rPr>
        <w:t>UCLA孤独量表</w:t>
      </w:r>
      <w:r>
        <w:rPr>
          <w:rFonts w:hint="eastAsia" w:ascii="宋体" w:hAnsi="宋体" w:eastAsia="宋体" w:cs="宋体"/>
          <w:sz w:val="24"/>
          <w:szCs w:val="24"/>
          <w:lang w:eastAsia="zh-CN"/>
        </w:rPr>
        <w:t>、</w:t>
      </w:r>
      <w:r>
        <w:rPr>
          <w:rFonts w:hint="eastAsia" w:ascii="宋体" w:hAnsi="宋体" w:eastAsia="宋体" w:cs="宋体"/>
          <w:sz w:val="24"/>
          <w:szCs w:val="24"/>
        </w:rPr>
        <w:t>康奈尔医学指数</w:t>
      </w:r>
      <w:r>
        <w:rPr>
          <w:rFonts w:hint="eastAsia" w:ascii="宋体" w:hAnsi="宋体" w:eastAsia="宋体" w:cs="宋体"/>
          <w:sz w:val="24"/>
          <w:szCs w:val="24"/>
          <w:lang w:eastAsia="zh-CN"/>
        </w:rPr>
        <w:t>、</w:t>
      </w:r>
      <w:r>
        <w:rPr>
          <w:rFonts w:hint="eastAsia" w:ascii="宋体" w:hAnsi="宋体" w:eastAsia="宋体" w:cs="宋体"/>
          <w:sz w:val="24"/>
          <w:szCs w:val="24"/>
        </w:rPr>
        <w:t>密西根酒精调查表 （MAST）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纽</w:t>
      </w:r>
      <w:r>
        <w:rPr>
          <w:rFonts w:hint="eastAsia" w:ascii="宋体" w:hAnsi="宋体" w:eastAsia="宋体" w:cs="宋体"/>
          <w:sz w:val="24"/>
          <w:szCs w:val="24"/>
        </w:rPr>
        <w:t>卡斯尔抑郁诊断量表（NDI）阿森斯失眠量表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匹茨堡睡眠质量指数量表（PSQI）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1.6.2查询随访功能：</w:t>
      </w:r>
      <w:r>
        <w:rPr>
          <w:rFonts w:hint="eastAsia" w:ascii="宋体" w:hAnsi="宋体" w:eastAsia="宋体" w:cs="宋体"/>
          <w:b w:val="0"/>
          <w:bCs w:val="0"/>
          <w:sz w:val="24"/>
          <w:szCs w:val="24"/>
          <w:lang w:val="en-US" w:eastAsia="zh-CN"/>
        </w:rPr>
        <w:t>①数据查询，查看已测者历次的测试数据、计分键及数据趋势图；②报告查询，</w:t>
      </w:r>
      <w:r>
        <w:rPr>
          <w:rFonts w:hint="eastAsia" w:ascii="宋体" w:hAnsi="宋体" w:eastAsia="宋体" w:cs="宋体"/>
          <w:sz w:val="24"/>
          <w:szCs w:val="24"/>
          <w:lang w:val="en-US" w:eastAsia="zh-CN"/>
        </w:rPr>
        <w:t>量表介绍功能：查看已测者历次的测验报告、数据图形、医生报告，以及修改测验报告、打印报告、删除测试记录等功能。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③个人信息修改，修改已测者的个人基本信息，包括编号、姓名、年龄、性别、婚姻等。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④明尼苏达续做，查看及删除明尼苏达续做的人员名单。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1.6.3【统计分析】功能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①统计报表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在设定的群体样本中，按因子、因子的程度及自定义程度分值，统计出符合条件的样本比例及人员名单。并且可以打印出报表人员名单。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注：有统计报表功能的量表：90项症状清单、艾森克个性测试、卡特尔 16 种人格测试、焦虑自评量表、抑郁自评量表、应付方式问卷、社会支持评定量表、世界卫生组织生存质量量表、老年抑郁量表、婚姻质量问卷。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在设定的群体样本中，按因子、因子的程度及自定义程度分值，统计出符合条件的样本数目、平均值、最大值、最小值、标准差等数据。并且可以导出统计的数据。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③T/Z 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在设定的两个群体中，进行T/Z 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1.6.4【系统设置】功能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①院名修改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设置和修改医院单位名称。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②密码修改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修改管理者密码、测验者密码和查看报告密码。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③基本信息设置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添加设置除了六个基本信息外的辅助信息，以及信息项的选择内容。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④编号设置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设置手动输入编号和软件自动输入编号两种方式，满足不同用户需求。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⑤数据备份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备份软件数据、测验报告及诊断意见到默认的路径或自定义路径下。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⑥习惯显示设置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设置软件主界面显示风格，即分类显示和完全显示两种。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1.6.5【扫描处理】功能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该功能主要是针对购买扫描识别转换系统的用户，对于扫描数据使用的功能。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①数据查询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查看扫描历次的测试数据、计分键及数据趋势图。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②报告查询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查看扫描历次的测验报告、数据图形、医生报告，以及修改测验报告、打印报告、删除测验数据和报告等功能。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③个人信息修改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修改被测者的个人基本信息，包括编号、姓名、年龄、性别、婚姻、教育程度和添加的辅助信息等。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1.6.6【测验设置】功能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开放测验者测试量表的权限。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1.6.7【量表介绍】功能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介绍软件所包含量表的简单说明。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1.6.8【诊断维护】功能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rPr>
      </w:pPr>
      <w:r>
        <w:rPr>
          <w:rFonts w:hint="eastAsia" w:ascii="宋体" w:hAnsi="宋体" w:eastAsia="宋体" w:cs="宋体"/>
          <w:sz w:val="24"/>
          <w:szCs w:val="24"/>
          <w:lang w:val="en-US" w:eastAsia="zh-CN"/>
        </w:rPr>
        <w:t>修改测验报告中的诊断文字内容。</w:t>
      </w:r>
    </w:p>
    <w:p>
      <w:pPr>
        <w:pStyle w:val="3"/>
        <w:numPr>
          <w:ilvl w:val="1"/>
          <w:numId w:val="2"/>
        </w:numPr>
        <w:spacing w:before="156" w:beforeLines="50" w:after="156" w:afterLines="50"/>
        <w:rPr>
          <w:rFonts w:ascii="宋体" w:hAnsi="宋体" w:eastAsia="宋体"/>
          <w:sz w:val="28"/>
          <w:szCs w:val="28"/>
        </w:rPr>
      </w:pPr>
      <w:r>
        <w:rPr>
          <w:rFonts w:hint="eastAsia" w:ascii="宋体" w:hAnsi="宋体" w:eastAsia="宋体"/>
          <w:sz w:val="28"/>
          <w:szCs w:val="28"/>
        </w:rPr>
        <w:t>服务及其他要求</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项目实施</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本项目工期</w:t>
      </w:r>
      <w:r>
        <w:rPr>
          <w:rFonts w:hint="eastAsia" w:ascii="宋体" w:hAnsi="宋体" w:eastAsia="宋体"/>
          <w:sz w:val="24"/>
          <w:lang w:val="en-US" w:eastAsia="zh-CN"/>
        </w:rPr>
        <w:t>1</w:t>
      </w:r>
      <w:r>
        <w:rPr>
          <w:rFonts w:ascii="宋体" w:hAnsi="宋体" w:eastAsia="宋体"/>
          <w:sz w:val="24"/>
        </w:rPr>
        <w:t>个月。投标人应切实做好项目进度管理规划，在确保项目质量和安全的原则下，控制项目进度，确保项目建设按期完成并投入正常运行。</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项目实施期间，投标人应根据项目建设内容和进度需要，派驻具有一定资质能力水平的成员组成项目团队对医院信息系统进行实施及服务。项目团队应配置合理且具有较为合理明确的分工，应至少包含项目负责人、技术负责人、系统需求分析人员、系统架构设计人员、软件设计开发人员、数据库管理应用人员、系统集成应用人员、网络应用人员、软件测试人员等。</w:t>
      </w:r>
    </w:p>
    <w:p>
      <w:pPr>
        <w:spacing w:before="156" w:beforeLines="50" w:after="156" w:afterLines="50" w:line="360" w:lineRule="auto"/>
        <w:ind w:firstLine="566" w:firstLineChars="236"/>
        <w:rPr>
          <w:rFonts w:hint="eastAsia" w:ascii="宋体" w:hAnsi="宋体" w:eastAsia="宋体"/>
          <w:sz w:val="24"/>
        </w:rPr>
      </w:pPr>
      <w:r>
        <w:rPr>
          <w:rFonts w:hint="eastAsia" w:ascii="宋体" w:hAnsi="宋体" w:eastAsia="宋体"/>
          <w:sz w:val="24"/>
        </w:rPr>
        <w:t>考虑到医院环境的特殊性，驻场开发期间，投标人应严格遵循职业健康安全管理体系和环境管理体系要求，要求项目团队人员遵守医院的管理制度，注意健康安全管理和环境管理。</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项目培训</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项目实施期间，投标人应提供与本次项目相关的培训课程，面向各级领导、系统管理员、系统操作人员等不同群体提供系统化、定制化和有针对性的培训。</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针对各级领导、系统管理员、系统操作人员，投标人应能分别提供一对一培训、小班培训和集中培训等不同培训方式，并实现相应的培训目的。同时考虑到疫情防控等特殊原因需要，必要时还应提供网络培训。</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投标人应在投标文件中提出清晰的培训计划，包括但不限于培训课程、课程时长、培训地点和人数等，并做好培训效果评估。</w:t>
      </w:r>
    </w:p>
    <w:p>
      <w:pPr>
        <w:spacing w:before="156" w:beforeLines="50" w:after="156" w:afterLines="50" w:line="360" w:lineRule="auto"/>
        <w:ind w:firstLine="566" w:firstLineChars="236"/>
        <w:rPr>
          <w:rFonts w:hint="eastAsia" w:ascii="宋体" w:hAnsi="宋体" w:eastAsia="宋体"/>
          <w:sz w:val="24"/>
        </w:rPr>
      </w:pPr>
      <w:r>
        <w:rPr>
          <w:rFonts w:hint="eastAsia" w:ascii="宋体" w:hAnsi="宋体" w:eastAsia="宋体"/>
          <w:sz w:val="24"/>
        </w:rPr>
        <w:t>培训费用应已经包含在投标报价中，采购人不再另行付费。</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验收及知识产权</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本项目采用项目整体验收的方式。</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软件系统验收标准为：系统整体功能交付达到了全部要求，系统上线并稳定运行，通过采购</w:t>
      </w:r>
      <w:r>
        <w:rPr>
          <w:rFonts w:hint="eastAsia" w:ascii="宋体" w:hAnsi="宋体" w:eastAsia="宋体"/>
          <w:sz w:val="24"/>
          <w:lang w:val="en-US" w:eastAsia="zh-CN"/>
        </w:rPr>
        <w:t>人</w:t>
      </w:r>
      <w:r>
        <w:rPr>
          <w:rFonts w:hint="eastAsia" w:ascii="宋体" w:hAnsi="宋体" w:eastAsia="宋体"/>
          <w:sz w:val="24"/>
        </w:rPr>
        <w:t>认可，且在提交全部相关文档、报告等交付物的前提下，由中标人向采购</w:t>
      </w:r>
      <w:r>
        <w:rPr>
          <w:rFonts w:hint="eastAsia" w:ascii="宋体" w:hAnsi="宋体" w:eastAsia="宋体"/>
          <w:sz w:val="24"/>
          <w:lang w:val="en-US" w:eastAsia="zh-CN"/>
        </w:rPr>
        <w:t>人</w:t>
      </w:r>
      <w:r>
        <w:rPr>
          <w:rFonts w:hint="eastAsia" w:ascii="宋体" w:hAnsi="宋体" w:eastAsia="宋体"/>
          <w:sz w:val="24"/>
        </w:rPr>
        <w:t>提出项目竣工验收申请，由采购</w:t>
      </w:r>
      <w:r>
        <w:rPr>
          <w:rFonts w:hint="eastAsia" w:ascii="宋体" w:hAnsi="宋体" w:eastAsia="宋体"/>
          <w:sz w:val="24"/>
          <w:lang w:val="en-US" w:eastAsia="zh-CN"/>
        </w:rPr>
        <w:t>人</w:t>
      </w:r>
      <w:r>
        <w:rPr>
          <w:rFonts w:hint="eastAsia" w:ascii="宋体" w:hAnsi="宋体" w:eastAsia="宋体"/>
          <w:sz w:val="24"/>
        </w:rPr>
        <w:t>组织领域专家进行验收评审，验收合格后15个工作日内出具项目整体验收报告。</w:t>
      </w:r>
    </w:p>
    <w:p>
      <w:pPr>
        <w:spacing w:before="156" w:beforeLines="50" w:after="156" w:afterLines="50" w:line="360" w:lineRule="auto"/>
        <w:ind w:firstLine="566" w:firstLineChars="236"/>
        <w:rPr>
          <w:rFonts w:hint="eastAsia" w:ascii="宋体" w:hAnsi="宋体" w:eastAsia="宋体"/>
          <w:sz w:val="24"/>
        </w:rPr>
      </w:pPr>
      <w:r>
        <w:rPr>
          <w:rFonts w:hint="eastAsia" w:ascii="宋体" w:hAnsi="宋体" w:eastAsia="宋体"/>
          <w:sz w:val="24"/>
        </w:rPr>
        <w:t>中标人原有知识产权归中标人所有，在项目实施过程中因用户个性化需求开发部分（包括接口等）软件的版权（即著作权）归采购</w:t>
      </w:r>
      <w:r>
        <w:rPr>
          <w:rFonts w:hint="eastAsia" w:ascii="宋体" w:hAnsi="宋体" w:eastAsia="宋体"/>
          <w:sz w:val="24"/>
          <w:lang w:val="en-US" w:eastAsia="zh-CN"/>
        </w:rPr>
        <w:t>人</w:t>
      </w:r>
      <w:r>
        <w:rPr>
          <w:rFonts w:hint="eastAsia" w:ascii="宋体" w:hAnsi="宋体" w:eastAsia="宋体"/>
          <w:sz w:val="24"/>
        </w:rPr>
        <w:t>（海南医学院第二附属医院）和中标人</w:t>
      </w:r>
      <w:r>
        <w:rPr>
          <w:rFonts w:hint="eastAsia" w:ascii="宋体" w:hAnsi="宋体" w:eastAsia="宋体"/>
          <w:sz w:val="24"/>
          <w:lang w:val="en-US" w:eastAsia="zh-CN"/>
        </w:rPr>
        <w:t>双</w:t>
      </w:r>
      <w:r>
        <w:rPr>
          <w:rFonts w:hint="eastAsia" w:ascii="宋体" w:hAnsi="宋体" w:eastAsia="宋体"/>
          <w:sz w:val="24"/>
        </w:rPr>
        <w:t>方共有。中标人须保障采购人的使用权不受任何第三方影响,如有问题,由中标人承担后果。</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售后服务</w:t>
      </w:r>
    </w:p>
    <w:p>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投标人应具备与本项目匹配的服务能力，并合理配备服务负责人和服务人员，以响应项目医院的技术服务要求。</w:t>
      </w:r>
    </w:p>
    <w:p>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本项目质保期为签订项目验收合格书之日起</w:t>
      </w:r>
      <w:r>
        <w:rPr>
          <w:rFonts w:hint="eastAsia" w:ascii="宋体" w:hAnsi="宋体" w:eastAsia="宋体" w:cs="宋体"/>
          <w:sz w:val="24"/>
          <w:szCs w:val="24"/>
          <w:lang w:val="en-US" w:eastAsia="zh-CN"/>
        </w:rPr>
        <w:t>2</w:t>
      </w:r>
      <w:r>
        <w:rPr>
          <w:rFonts w:hint="eastAsia" w:ascii="宋体" w:hAnsi="宋体" w:eastAsia="宋体" w:cs="宋体"/>
          <w:sz w:val="24"/>
          <w:szCs w:val="24"/>
        </w:rPr>
        <w:t>年，并提供：</w:t>
      </w:r>
    </w:p>
    <w:p>
      <w:pPr>
        <w:numPr>
          <w:ilvl w:val="0"/>
          <w:numId w:val="4"/>
        </w:num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免费升级服务。</w:t>
      </w:r>
    </w:p>
    <w:p>
      <w:pPr>
        <w:numPr>
          <w:ilvl w:val="0"/>
          <w:numId w:val="4"/>
        </w:num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至少提供</w:t>
      </w:r>
      <w:r>
        <w:rPr>
          <w:rFonts w:hint="eastAsia" w:ascii="宋体" w:hAnsi="宋体" w:eastAsia="宋体" w:cs="宋体"/>
          <w:sz w:val="24"/>
          <w:szCs w:val="24"/>
          <w:lang w:val="en-US" w:eastAsia="zh-CN"/>
        </w:rPr>
        <w:t>3次相关</w:t>
      </w:r>
      <w:r>
        <w:rPr>
          <w:rFonts w:hint="eastAsia" w:ascii="宋体" w:hAnsi="宋体" w:eastAsia="宋体" w:cs="宋体"/>
          <w:sz w:val="24"/>
          <w:szCs w:val="24"/>
        </w:rPr>
        <w:t>培训课程。</w:t>
      </w:r>
    </w:p>
    <w:p>
      <w:pPr>
        <w:numPr>
          <w:ilvl w:val="0"/>
          <w:numId w:val="4"/>
        </w:num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每个季度提供一次数据库、软件服务巡检。</w:t>
      </w:r>
    </w:p>
    <w:p>
      <w:pPr>
        <w:numPr>
          <w:ilvl w:val="0"/>
          <w:numId w:val="4"/>
        </w:numPr>
        <w:adjustRightInd w:val="0"/>
        <w:snapToGrid w:val="0"/>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维保期内必须免费为医院提供个性化需求和软件接口的开发服务。</w:t>
      </w:r>
    </w:p>
    <w:p>
      <w:pPr>
        <w:adjustRightInd w:val="0"/>
        <w:snapToGrid w:val="0"/>
        <w:spacing w:before="156" w:beforeLines="50" w:after="156" w:afterLines="50" w:line="360" w:lineRule="auto"/>
        <w:ind w:firstLine="480" w:firstLineChars="200"/>
        <w:rPr>
          <w:rFonts w:hint="eastAsia" w:ascii="宋体" w:hAnsi="宋体"/>
          <w:color w:val="000000"/>
          <w:sz w:val="24"/>
          <w:lang w:val="en-US" w:eastAsia="zh-CN"/>
        </w:rPr>
      </w:pPr>
      <w:r>
        <w:rPr>
          <w:rFonts w:hint="eastAsia" w:ascii="宋体" w:hAnsi="宋体" w:eastAsia="宋体" w:cs="宋体"/>
          <w:sz w:val="24"/>
          <w:szCs w:val="24"/>
        </w:rPr>
        <w:t>工程建设期间及质保期均属于免费服务期，</w:t>
      </w:r>
      <w:r>
        <w:rPr>
          <w:rFonts w:hint="eastAsia" w:ascii="宋体" w:hAnsi="宋体" w:eastAsia="宋体" w:cs="宋体"/>
          <w:color w:val="000000"/>
          <w:sz w:val="24"/>
          <w:szCs w:val="24"/>
        </w:rPr>
        <w:t>免费服务期内所发生的一切费用包括系统技术支持，系统维护或升级，接口对接，人员交通，差旅服务等费用全部包含在中标</w:t>
      </w:r>
      <w:r>
        <w:rPr>
          <w:rFonts w:hint="eastAsia" w:ascii="宋体" w:hAnsi="宋体" w:eastAsia="宋体" w:cs="宋体"/>
          <w:sz w:val="24"/>
          <w:szCs w:val="24"/>
        </w:rPr>
        <w:t>价内。免费服务期满后，投标人向业主提供如质保期内的售后服务，并经双方协商后收取相应费用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收费标准参照《海南省政务信息化项目投资编制标准（试行）》，如</w:t>
      </w:r>
      <w:r>
        <w:rPr>
          <w:rFonts w:hint="eastAsia" w:ascii="宋体" w:hAnsi="宋体" w:eastAsia="宋体" w:cs="宋体"/>
          <w:sz w:val="24"/>
          <w:szCs w:val="24"/>
        </w:rPr>
        <w:t>后续政府关于维保费的相关规定有变化，按政府最新规定执行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《海南省政务信息化项目投资编制标准（试行）》中，软件运维费=运维对象IT资产总额*运维费率*运</w:t>
      </w:r>
      <w:r>
        <w:rPr>
          <w:rFonts w:hint="eastAsia" w:ascii="宋体" w:hAnsi="宋体" w:eastAsia="宋体" w:cs="宋体"/>
          <w:color w:val="000000"/>
          <w:sz w:val="24"/>
          <w:szCs w:val="24"/>
          <w:lang w:val="en-US" w:eastAsia="zh-CN"/>
        </w:rPr>
        <w:t>维年限系数。其中，运维费率取值不高于5%，运维年限系数按下表执行：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230"/>
        <w:gridCol w:w="217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36" w:type="dxa"/>
          </w:tcPr>
          <w:p>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使用年限</w:t>
            </w:r>
          </w:p>
        </w:tc>
        <w:tc>
          <w:tcPr>
            <w:tcW w:w="2230" w:type="dxa"/>
          </w:tcPr>
          <w:p>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质保期后第1、2年</w:t>
            </w:r>
          </w:p>
        </w:tc>
        <w:tc>
          <w:tcPr>
            <w:tcW w:w="2170" w:type="dxa"/>
          </w:tcPr>
          <w:p>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质保期后第3、4年</w:t>
            </w:r>
          </w:p>
        </w:tc>
        <w:tc>
          <w:tcPr>
            <w:tcW w:w="2386" w:type="dxa"/>
          </w:tcPr>
          <w:p>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质保期后第5年及以上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运维年限系数</w:t>
            </w:r>
          </w:p>
        </w:tc>
        <w:tc>
          <w:tcPr>
            <w:tcW w:w="2230" w:type="dxa"/>
          </w:tcPr>
          <w:p>
            <w:pPr>
              <w:adjustRightInd w:val="0"/>
              <w:snapToGrid w:val="0"/>
              <w:spacing w:before="156" w:beforeLines="50" w:after="156" w:afterLines="50"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1</w:t>
            </w:r>
          </w:p>
        </w:tc>
        <w:tc>
          <w:tcPr>
            <w:tcW w:w="2170" w:type="dxa"/>
          </w:tcPr>
          <w:p>
            <w:pPr>
              <w:adjustRightInd w:val="0"/>
              <w:snapToGrid w:val="0"/>
              <w:spacing w:before="156" w:beforeLines="50" w:after="156" w:afterLines="50"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1.1</w:t>
            </w:r>
          </w:p>
        </w:tc>
        <w:tc>
          <w:tcPr>
            <w:tcW w:w="2386" w:type="dxa"/>
          </w:tcPr>
          <w:p>
            <w:pPr>
              <w:adjustRightInd w:val="0"/>
              <w:snapToGrid w:val="0"/>
              <w:spacing w:before="156" w:beforeLines="50" w:after="156" w:afterLines="50"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1.2</w:t>
            </w:r>
          </w:p>
        </w:tc>
      </w:tr>
    </w:tbl>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textAlignment w:val="auto"/>
        <w:rPr>
          <w:rFonts w:ascii="宋体" w:hAnsi="宋体" w:eastAsia="宋体"/>
          <w:sz w:val="24"/>
        </w:rPr>
      </w:pPr>
      <w:r>
        <w:rPr>
          <w:rFonts w:hint="eastAsia" w:ascii="宋体" w:hAnsi="宋体" w:eastAsia="宋体"/>
          <w:sz w:val="24"/>
        </w:rPr>
        <w:t>投标人必须提供7*24小时技术支持热线电话（固话，手机）。当发生故障时，自报障时起算，1小时内响应，4小时内解决，若远程维护无法解决，投标人应安排人员在48小时内到达现场处理故障；维保期内，投标人向采购人提供免费软件升级和维护服务；维保期内，若因为政策变动而导致系统功能需要重建，则双方共同协商制订费用收取标准；若因为政策变动而导致系统功能需要增加或者修改，则包含在保修业务范围内。</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付款方式</w:t>
      </w:r>
    </w:p>
    <w:p>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本项目所有款项均以人民币支付，项目合同总价以中标价为准。付款方式如下：</w:t>
      </w:r>
    </w:p>
    <w:p>
      <w:pPr>
        <w:numPr>
          <w:ilvl w:val="0"/>
          <w:numId w:val="5"/>
        </w:numPr>
        <w:adjustRightInd w:val="0"/>
        <w:snapToGrid w:val="0"/>
        <w:spacing w:before="156" w:beforeLines="50" w:after="156" w:afterLines="50"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项目整体完成，系统上线</w:t>
      </w:r>
      <w:r>
        <w:rPr>
          <w:rFonts w:hint="eastAsia" w:ascii="宋体" w:hAnsi="宋体" w:eastAsia="宋体" w:cs="宋体"/>
          <w:sz w:val="24"/>
          <w:szCs w:val="24"/>
          <w:lang w:val="en-US" w:eastAsia="zh-CN"/>
        </w:rPr>
        <w:t>且稳定</w:t>
      </w:r>
      <w:r>
        <w:rPr>
          <w:rFonts w:hint="eastAsia" w:ascii="宋体" w:hAnsi="宋体" w:eastAsia="宋体" w:cs="宋体"/>
          <w:sz w:val="24"/>
          <w:szCs w:val="24"/>
        </w:rPr>
        <w:t>运行三个月后，</w:t>
      </w:r>
      <w:r>
        <w:rPr>
          <w:rFonts w:hint="eastAsia" w:ascii="宋体" w:hAnsi="宋体" w:eastAsia="宋体" w:cs="宋体"/>
          <w:sz w:val="24"/>
          <w:szCs w:val="24"/>
          <w:lang w:val="en-US" w:eastAsia="zh-CN"/>
        </w:rPr>
        <w:t>且</w:t>
      </w:r>
      <w:r>
        <w:rPr>
          <w:rFonts w:hint="eastAsia" w:ascii="宋体" w:hAnsi="宋体" w:eastAsia="宋体" w:cs="宋体"/>
          <w:sz w:val="24"/>
          <w:szCs w:val="24"/>
        </w:rPr>
        <w:t>符合合同要求，</w:t>
      </w:r>
      <w:r>
        <w:rPr>
          <w:rFonts w:hint="eastAsia" w:ascii="宋体" w:hAnsi="宋体" w:eastAsia="宋体" w:cs="宋体"/>
          <w:sz w:val="24"/>
          <w:szCs w:val="24"/>
          <w:lang w:eastAsia="zh-CN"/>
        </w:rPr>
        <w:t>中标人</w:t>
      </w:r>
      <w:r>
        <w:rPr>
          <w:rFonts w:hint="eastAsia" w:ascii="宋体" w:hAnsi="宋体" w:eastAsia="宋体" w:cs="宋体"/>
          <w:sz w:val="24"/>
          <w:szCs w:val="24"/>
        </w:rPr>
        <w:t>向</w:t>
      </w:r>
      <w:r>
        <w:rPr>
          <w:rFonts w:hint="eastAsia" w:ascii="宋体" w:hAnsi="宋体" w:eastAsia="宋体" w:cs="宋体"/>
          <w:sz w:val="24"/>
          <w:szCs w:val="24"/>
          <w:lang w:val="en-US" w:eastAsia="zh-CN"/>
        </w:rPr>
        <w:t>采购人</w:t>
      </w:r>
      <w:r>
        <w:rPr>
          <w:rFonts w:hint="eastAsia" w:ascii="宋体" w:hAnsi="宋体" w:eastAsia="宋体" w:cs="宋体"/>
          <w:sz w:val="24"/>
          <w:szCs w:val="24"/>
        </w:rPr>
        <w:t>书面提出终验申请，经</w:t>
      </w:r>
      <w:r>
        <w:rPr>
          <w:rFonts w:hint="eastAsia" w:ascii="宋体" w:hAnsi="宋体" w:eastAsia="宋体" w:cs="宋体"/>
          <w:sz w:val="24"/>
          <w:szCs w:val="24"/>
          <w:lang w:val="en-US" w:eastAsia="zh-CN"/>
        </w:rPr>
        <w:t>采购人</w:t>
      </w:r>
      <w:r>
        <w:rPr>
          <w:rFonts w:hint="eastAsia" w:ascii="宋体" w:hAnsi="宋体" w:eastAsia="宋体" w:cs="宋体"/>
          <w:sz w:val="24"/>
          <w:szCs w:val="24"/>
        </w:rPr>
        <w:t>验收合格后，凭中标人提供的正式</w:t>
      </w:r>
      <w:r>
        <w:rPr>
          <w:rFonts w:hint="eastAsia" w:ascii="宋体" w:hAnsi="宋体" w:eastAsia="宋体" w:cs="宋体"/>
          <w:sz w:val="24"/>
          <w:szCs w:val="24"/>
          <w:lang w:val="en-US" w:eastAsia="zh-CN"/>
        </w:rPr>
        <w:t>有效的</w:t>
      </w:r>
      <w:r>
        <w:rPr>
          <w:rFonts w:hint="eastAsia" w:ascii="宋体" w:hAnsi="宋体" w:eastAsia="宋体" w:cs="宋体"/>
          <w:sz w:val="24"/>
          <w:szCs w:val="24"/>
        </w:rPr>
        <w:t>含税发票，采购人办理相关手续后，支付合同总额</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95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numPr>
          <w:ilvl w:val="0"/>
          <w:numId w:val="5"/>
        </w:numPr>
        <w:adjustRightInd w:val="0"/>
        <w:snapToGrid w:val="0"/>
        <w:spacing w:before="156" w:beforeLines="50" w:after="156" w:afterLines="50"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剩余合同总金额的</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u w:val="single"/>
        </w:rPr>
        <w:t>%</w:t>
      </w:r>
      <w:r>
        <w:rPr>
          <w:rFonts w:hint="eastAsia" w:ascii="宋体" w:hAnsi="宋体" w:eastAsia="宋体" w:cs="宋体"/>
          <w:sz w:val="24"/>
          <w:szCs w:val="24"/>
        </w:rPr>
        <w:t>合同款转为质保金，质保期结束后，经</w:t>
      </w:r>
      <w:r>
        <w:rPr>
          <w:rFonts w:hint="eastAsia" w:ascii="宋体" w:hAnsi="宋体" w:eastAsia="宋体" w:cs="宋体"/>
          <w:sz w:val="24"/>
          <w:szCs w:val="24"/>
          <w:lang w:val="en-US" w:eastAsia="zh-CN"/>
        </w:rPr>
        <w:t>采购人</w:t>
      </w:r>
      <w:r>
        <w:rPr>
          <w:rFonts w:hint="eastAsia" w:ascii="宋体" w:hAnsi="宋体" w:eastAsia="宋体" w:cs="宋体"/>
          <w:sz w:val="24"/>
          <w:szCs w:val="24"/>
        </w:rPr>
        <w:t>相关部门对中标人质保服务进行评价，评价为合格后</w:t>
      </w:r>
      <w:r>
        <w:rPr>
          <w:rFonts w:hint="eastAsia" w:ascii="宋体" w:hAnsi="宋体" w:eastAsia="宋体" w:cs="宋体"/>
          <w:color w:val="000000"/>
          <w:sz w:val="24"/>
          <w:szCs w:val="24"/>
        </w:rPr>
        <w:t>凭中标人提供的正式含税发票，采购人办理相关手续后，支付合同总额的</w:t>
      </w:r>
      <w:r>
        <w:rPr>
          <w:rFonts w:hint="eastAsia" w:ascii="宋体" w:hAnsi="宋体" w:eastAsia="宋体" w:cs="宋体"/>
          <w:color w:val="auto"/>
          <w:sz w:val="24"/>
          <w:szCs w:val="24"/>
          <w:u w:val="single"/>
          <w:lang w:val="en-US" w:eastAsia="zh-CN"/>
        </w:rPr>
        <w:t xml:space="preserve">  5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000000"/>
          <w:sz w:val="24"/>
          <w:szCs w:val="24"/>
        </w:rPr>
        <w:t>中标人</w:t>
      </w:r>
      <w:r>
        <w:rPr>
          <w:rFonts w:hint="eastAsia" w:ascii="宋体" w:hAnsi="宋体" w:eastAsia="宋体" w:cs="宋体"/>
          <w:sz w:val="24"/>
          <w:szCs w:val="24"/>
        </w:rPr>
        <w:t>在质保服务期内，系统或服务成果出现问题应配合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积极整改，否则甲方有权拒付或扣除部分质保金。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CF64"/>
    <w:multiLevelType w:val="singleLevel"/>
    <w:tmpl w:val="B6ACCF64"/>
    <w:lvl w:ilvl="0" w:tentative="0">
      <w:start w:val="1"/>
      <w:numFmt w:val="decimal"/>
      <w:suff w:val="nothing"/>
      <w:lvlText w:val="（%1）"/>
      <w:lvlJc w:val="left"/>
    </w:lvl>
  </w:abstractNum>
  <w:abstractNum w:abstractNumId="1">
    <w:nsid w:val="BA46E9A8"/>
    <w:multiLevelType w:val="singleLevel"/>
    <w:tmpl w:val="BA46E9A8"/>
    <w:lvl w:ilvl="0" w:tentative="0">
      <w:start w:val="10"/>
      <w:numFmt w:val="decimal"/>
      <w:suff w:val="nothing"/>
      <w:lvlText w:val="（%1）"/>
      <w:lvlJc w:val="left"/>
    </w:lvl>
  </w:abstractNum>
  <w:abstractNum w:abstractNumId="2">
    <w:nsid w:val="11760DB1"/>
    <w:multiLevelType w:val="multilevel"/>
    <w:tmpl w:val="11760DB1"/>
    <w:lvl w:ilvl="0" w:tentative="0">
      <w:start w:val="1"/>
      <w:numFmt w:val="decimal"/>
      <w:lvlText w:val="%1"/>
      <w:lvlJc w:val="left"/>
      <w:pPr>
        <w:ind w:left="0" w:firstLine="0"/>
      </w:pPr>
      <w:rPr>
        <w:rFonts w:hint="eastAsia"/>
        <w:b/>
        <w:bCs w:val="0"/>
      </w:rPr>
    </w:lvl>
    <w:lvl w:ilvl="1" w:tentative="0">
      <w:start w:val="1"/>
      <w:numFmt w:val="decimal"/>
      <w:lvlText w:val="%1.%2"/>
      <w:lvlJc w:val="left"/>
      <w:pPr>
        <w:ind w:left="0" w:firstLine="0"/>
      </w:pPr>
      <w:rPr>
        <w:b/>
        <w:bCs/>
        <w:sz w:val="24"/>
        <w:szCs w:val="28"/>
      </w:rPr>
    </w:lvl>
    <w:lvl w:ilvl="2" w:tentative="0">
      <w:start w:val="1"/>
      <w:numFmt w:val="decimal"/>
      <w:lvlText w:val="%1.%2.%3"/>
      <w:lvlJc w:val="left"/>
      <w:pPr>
        <w:ind w:left="993" w:firstLine="0"/>
      </w:pPr>
      <w:rPr>
        <w:sz w:val="24"/>
        <w:szCs w:val="24"/>
      </w:rPr>
    </w:lvl>
    <w:lvl w:ilvl="3" w:tentative="0">
      <w:start w:val="1"/>
      <w:numFmt w:val="decimal"/>
      <w:lvlText w:val="%1.%2.%3.%4"/>
      <w:lvlJc w:val="left"/>
      <w:pPr>
        <w:ind w:left="0" w:firstLine="0"/>
      </w:pPr>
      <w:rPr>
        <w:b/>
        <w:bCs/>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674C203"/>
    <w:multiLevelType w:val="singleLevel"/>
    <w:tmpl w:val="1674C203"/>
    <w:lvl w:ilvl="0" w:tentative="0">
      <w:start w:val="1"/>
      <w:numFmt w:val="decimal"/>
      <w:suff w:val="nothing"/>
      <w:lvlText w:val="%1、"/>
      <w:lvlJc w:val="left"/>
    </w:lvl>
  </w:abstractNum>
  <w:abstractNum w:abstractNumId="4">
    <w:nsid w:val="197436D3"/>
    <w:multiLevelType w:val="multilevel"/>
    <w:tmpl w:val="197436D3"/>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MjBkYzQ0YmNjYTVmYzc4NDMzYjZjZGZiNjUyOTEifQ=="/>
  </w:docVars>
  <w:rsids>
    <w:rsidRoot w:val="7AD66152"/>
    <w:rsid w:val="00975EBE"/>
    <w:rsid w:val="00B93BA2"/>
    <w:rsid w:val="00D157F9"/>
    <w:rsid w:val="1050580D"/>
    <w:rsid w:val="126D2D8D"/>
    <w:rsid w:val="149E6080"/>
    <w:rsid w:val="16635CC9"/>
    <w:rsid w:val="17205376"/>
    <w:rsid w:val="17AC5333"/>
    <w:rsid w:val="1F23625A"/>
    <w:rsid w:val="23C942E3"/>
    <w:rsid w:val="2C4C35F9"/>
    <w:rsid w:val="35B44695"/>
    <w:rsid w:val="35CD0157"/>
    <w:rsid w:val="365E1EC3"/>
    <w:rsid w:val="3EAA5344"/>
    <w:rsid w:val="406242B1"/>
    <w:rsid w:val="4B1078E8"/>
    <w:rsid w:val="542673EE"/>
    <w:rsid w:val="55105F1C"/>
    <w:rsid w:val="55604255"/>
    <w:rsid w:val="64CA55AD"/>
    <w:rsid w:val="650A6B00"/>
    <w:rsid w:val="6CBB1B4D"/>
    <w:rsid w:val="6FF72236"/>
    <w:rsid w:val="7AD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autoRedefine/>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annotation text"/>
    <w:basedOn w:val="1"/>
    <w:link w:val="16"/>
    <w:autoRedefine/>
    <w:qFormat/>
    <w:uiPriority w:val="0"/>
    <w:pPr>
      <w:jc w:val="left"/>
    </w:pPr>
  </w:style>
  <w:style w:type="paragraph" w:styleId="10">
    <w:name w:val="Body Text"/>
    <w:basedOn w:val="1"/>
    <w:next w:val="1"/>
    <w:autoRedefine/>
    <w:qFormat/>
    <w:uiPriority w:val="99"/>
    <w:pPr>
      <w:spacing w:after="120"/>
    </w:pPr>
    <w:rPr>
      <w:rFonts w:ascii="Tahoma" w:hAnsi="Tahoma" w:eastAsia="等线" w:cs="Times New Roman"/>
    </w:rPr>
  </w:style>
  <w:style w:type="paragraph" w:styleId="11">
    <w:name w:val="annotation subject"/>
    <w:basedOn w:val="9"/>
    <w:next w:val="9"/>
    <w:link w:val="17"/>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character" w:customStyle="1" w:styleId="16">
    <w:name w:val="批注文字 字符"/>
    <w:basedOn w:val="14"/>
    <w:link w:val="9"/>
    <w:autoRedefine/>
    <w:qFormat/>
    <w:uiPriority w:val="0"/>
    <w:rPr>
      <w:kern w:val="2"/>
      <w:sz w:val="21"/>
      <w:szCs w:val="24"/>
    </w:rPr>
  </w:style>
  <w:style w:type="character" w:customStyle="1" w:styleId="17">
    <w:name w:val="批注主题 字符"/>
    <w:basedOn w:val="16"/>
    <w:link w:val="11"/>
    <w:autoRedefine/>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10</Pages>
  <Words>673</Words>
  <Characters>3842</Characters>
  <Lines>32</Lines>
  <Paragraphs>9</Paragraphs>
  <TotalTime>4</TotalTime>
  <ScaleCrop>false</ScaleCrop>
  <LinksUpToDate>false</LinksUpToDate>
  <CharactersWithSpaces>4506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2023-11-21T03:30:00Z</dcterms:created>
  <dc:creator></dc:creator>
  <cp:lastModifiedBy></cp:lastModifiedBy>
  <dcterms:modified xsi:type="dcterms:W3CDTF">2024-07-04T00:24:22Z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E911C528A4AB4B799682550A55DEAF58_13</vt:lpwstr>
  </property>
</Properties>
</file>