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rPr>
      </w:pPr>
    </w:p>
    <w:p>
      <w:pPr>
        <w:spacing w:line="360" w:lineRule="auto"/>
        <w:jc w:val="center"/>
        <w:rPr>
          <w:rFonts w:ascii="宋体" w:hAnsi="宋体" w:eastAsia="宋体" w:cs="Times New Roman"/>
          <w:sz w:val="36"/>
          <w:szCs w:val="36"/>
        </w:rPr>
      </w:pPr>
    </w:p>
    <w:p>
      <w:pPr>
        <w:spacing w:line="360" w:lineRule="auto"/>
        <w:rPr>
          <w:rFonts w:ascii="宋体" w:hAnsi="宋体" w:eastAsia="宋体" w:cs="Times New Roman"/>
          <w:sz w:val="36"/>
          <w:szCs w:val="36"/>
        </w:rPr>
      </w:pPr>
    </w:p>
    <w:p>
      <w:pPr>
        <w:spacing w:line="360" w:lineRule="auto"/>
        <w:jc w:val="center"/>
        <w:rPr>
          <w:rFonts w:ascii="宋体" w:hAnsi="宋体" w:eastAsia="宋体" w:cs="Times New Roman"/>
          <w:sz w:val="36"/>
          <w:szCs w:val="36"/>
        </w:rPr>
      </w:pPr>
    </w:p>
    <w:p>
      <w:pPr>
        <w:spacing w:line="360" w:lineRule="auto"/>
        <w:jc w:val="center"/>
        <w:rPr>
          <w:rFonts w:ascii="宋体" w:hAnsi="宋体" w:eastAsia="宋体" w:cs="Times New Roman"/>
          <w:b/>
          <w:bCs/>
          <w:sz w:val="48"/>
          <w:szCs w:val="36"/>
        </w:rPr>
      </w:pPr>
      <w:r>
        <w:rPr>
          <w:rFonts w:hint="eastAsia" w:ascii="宋体" w:hAnsi="宋体" w:eastAsia="宋体" w:cs="Times New Roman"/>
          <w:b/>
          <w:bCs/>
          <w:sz w:val="48"/>
          <w:szCs w:val="36"/>
        </w:rPr>
        <w:t>海南医学院第二附属医院</w:t>
      </w:r>
    </w:p>
    <w:p>
      <w:pPr>
        <w:spacing w:line="360" w:lineRule="auto"/>
        <w:jc w:val="center"/>
        <w:rPr>
          <w:rFonts w:ascii="宋体" w:hAnsi="宋体" w:eastAsia="宋体" w:cs="Times New Roman"/>
          <w:b/>
          <w:bCs/>
          <w:sz w:val="48"/>
          <w:szCs w:val="36"/>
        </w:rPr>
      </w:pPr>
      <w:r>
        <w:rPr>
          <w:rFonts w:hint="eastAsia" w:ascii="宋体" w:hAnsi="宋体" w:eastAsia="宋体" w:cs="Times New Roman"/>
          <w:b/>
          <w:bCs/>
          <w:sz w:val="48"/>
          <w:szCs w:val="36"/>
          <w:lang w:eastAsia="zh-CN"/>
        </w:rPr>
        <w:t>数据</w:t>
      </w:r>
      <w:r>
        <w:rPr>
          <w:rFonts w:hint="eastAsia" w:ascii="宋体" w:hAnsi="宋体" w:eastAsia="宋体" w:cs="Times New Roman"/>
          <w:b/>
          <w:bCs/>
          <w:sz w:val="48"/>
          <w:szCs w:val="36"/>
        </w:rPr>
        <w:t>存储</w:t>
      </w:r>
      <w:r>
        <w:rPr>
          <w:rFonts w:hint="eastAsia" w:ascii="宋体" w:hAnsi="宋体" w:eastAsia="宋体" w:cs="Times New Roman"/>
          <w:b/>
          <w:bCs/>
          <w:sz w:val="48"/>
          <w:szCs w:val="36"/>
          <w:lang w:eastAsia="zh-CN"/>
        </w:rPr>
        <w:t>及容灾</w:t>
      </w:r>
      <w:r>
        <w:rPr>
          <w:rFonts w:hint="eastAsia" w:ascii="宋体" w:hAnsi="宋体" w:eastAsia="宋体" w:cs="Times New Roman"/>
          <w:b/>
          <w:bCs/>
          <w:sz w:val="48"/>
          <w:szCs w:val="36"/>
        </w:rPr>
        <w:t>设备维保服务采购需求</w:t>
      </w:r>
    </w:p>
    <w:p>
      <w:pPr>
        <w:spacing w:line="360" w:lineRule="auto"/>
        <w:jc w:val="center"/>
        <w:rPr>
          <w:rFonts w:ascii="宋体" w:hAnsi="宋体" w:eastAsia="宋体" w:cs="Times New Roman"/>
          <w:b/>
          <w:bCs/>
          <w:sz w:val="48"/>
          <w:szCs w:val="36"/>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tbl>
      <w:tblPr>
        <w:tblStyle w:val="23"/>
        <w:tblW w:w="7920" w:type="dxa"/>
        <w:jc w:val="center"/>
        <w:tblLayout w:type="fixed"/>
        <w:tblCellMar>
          <w:top w:w="0" w:type="dxa"/>
          <w:left w:w="0" w:type="dxa"/>
          <w:bottom w:w="0" w:type="dxa"/>
          <w:right w:w="0" w:type="dxa"/>
        </w:tblCellMar>
      </w:tblPr>
      <w:tblGrid>
        <w:gridCol w:w="2827"/>
        <w:gridCol w:w="5093"/>
      </w:tblGrid>
      <w:tr>
        <w:tblPrEx>
          <w:tblCellMar>
            <w:top w:w="0" w:type="dxa"/>
            <w:left w:w="0" w:type="dxa"/>
            <w:bottom w:w="0" w:type="dxa"/>
            <w:right w:w="0" w:type="dxa"/>
          </w:tblCellMar>
        </w:tblPrEx>
        <w:trPr>
          <w:trHeight w:val="900" w:hRule="atLeast"/>
          <w:jc w:val="center"/>
        </w:trPr>
        <w:tc>
          <w:tcPr>
            <w:tcW w:w="2827"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起草</w:t>
            </w:r>
          </w:p>
        </w:tc>
        <w:tc>
          <w:tcPr>
            <w:tcW w:w="509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校核</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审查</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CellMar>
            <w:top w:w="0" w:type="dxa"/>
            <w:left w:w="0" w:type="dxa"/>
            <w:bottom w:w="0" w:type="dxa"/>
            <w:right w:w="0" w:type="dxa"/>
          </w:tblCellMar>
        </w:tblPrEx>
        <w:trPr>
          <w:trHeight w:val="778"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批准</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楷体_GB2312" w:hAnsi="楷体_GB2312" w:eastAsia="宋体" w:cs="Times New Roman"/>
                <w:spacing w:val="20"/>
                <w:sz w:val="24"/>
                <w:szCs w:val="24"/>
              </w:rPr>
            </w:pPr>
          </w:p>
        </w:tc>
      </w:tr>
    </w:tbl>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202</w:t>
      </w:r>
      <w:r>
        <w:rPr>
          <w:rFonts w:hint="eastAsia" w:ascii="宋体" w:hAnsi="宋体" w:eastAsia="宋体" w:cs="Times New Roman"/>
          <w:b/>
          <w:bCs/>
          <w:sz w:val="24"/>
          <w:szCs w:val="24"/>
          <w:lang w:val="en-US" w:eastAsia="zh-CN"/>
        </w:rPr>
        <w:t>4</w:t>
      </w:r>
      <w:r>
        <w:rPr>
          <w:rFonts w:hint="eastAsia" w:ascii="宋体" w:hAnsi="宋体" w:eastAsia="宋体" w:cs="Times New Roman"/>
          <w:b/>
          <w:bCs/>
          <w:sz w:val="24"/>
          <w:szCs w:val="24"/>
        </w:rPr>
        <w:t>年</w:t>
      </w:r>
      <w:r>
        <w:rPr>
          <w:rFonts w:hint="eastAsia" w:ascii="宋体" w:hAnsi="宋体" w:eastAsia="宋体" w:cs="Times New Roman"/>
          <w:b/>
          <w:bCs/>
          <w:sz w:val="24"/>
          <w:szCs w:val="24"/>
          <w:lang w:val="en-US" w:eastAsia="zh-CN"/>
        </w:rPr>
        <w:t>7</w:t>
      </w:r>
      <w:r>
        <w:rPr>
          <w:rFonts w:hint="eastAsia" w:ascii="宋体" w:hAnsi="宋体" w:eastAsia="宋体" w:cs="Times New Roman"/>
          <w:b/>
          <w:bCs/>
          <w:sz w:val="24"/>
          <w:szCs w:val="24"/>
        </w:rPr>
        <w:t>月</w:t>
      </w:r>
    </w:p>
    <w:p>
      <w:pPr>
        <w:spacing w:line="360" w:lineRule="auto"/>
        <w:jc w:val="center"/>
        <w:rPr>
          <w:rFonts w:ascii="宋体" w:hAnsi="宋体" w:eastAsia="宋体" w:cs="Times New Roman"/>
          <w:sz w:val="24"/>
          <w:szCs w:val="24"/>
        </w:rPr>
      </w:pPr>
    </w:p>
    <w:p>
      <w:pPr>
        <w:spacing w:line="360" w:lineRule="auto"/>
        <w:jc w:val="center"/>
        <w:rPr>
          <w:rFonts w:ascii="宋体" w:hAnsi="宋体" w:eastAsia="宋体" w:cs="Times New Roman"/>
          <w:sz w:val="24"/>
          <w:szCs w:val="24"/>
        </w:rPr>
      </w:pPr>
    </w:p>
    <w:p>
      <w:pPr>
        <w:keepNext/>
        <w:numPr>
          <w:ilvl w:val="0"/>
          <w:numId w:val="1"/>
        </w:numPr>
        <w:tabs>
          <w:tab w:val="left" w:pos="360"/>
        </w:tabs>
        <w:outlineLvl w:val="0"/>
        <w:rPr>
          <w:rFonts w:ascii="宋体" w:hAnsi="宋体" w:eastAsia="宋体" w:cs="Times New Roman"/>
          <w:b/>
          <w:color w:val="000000"/>
          <w:sz w:val="28"/>
          <w:szCs w:val="28"/>
        </w:rPr>
      </w:pPr>
      <w:bookmarkStart w:id="0" w:name="_前言"/>
      <w:bookmarkEnd w:id="0"/>
      <w:r>
        <w:rPr>
          <w:rFonts w:hint="eastAsia" w:ascii="宋体" w:hAnsi="宋体" w:eastAsia="宋体" w:cs="Times New Roman"/>
          <w:b/>
          <w:color w:val="000000"/>
          <w:sz w:val="28"/>
          <w:szCs w:val="28"/>
        </w:rPr>
        <w:t>项目背景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海南医学院第二附属医院原数据存储及容灾设备即将过保，目前这些核心设备仍然为院内关键应用提供运行支撑，需要保证很高的可用性。</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确保相关设备在出现故障时，能够较快的获得相应的原厂级别故障处理及技术支持服务，使这些信息系统能够保证连续稳定运行，在出现故障时快速恢复可用，需要购买这些系统设备的原厂级别技术支持及维保服务。</w:t>
      </w:r>
    </w:p>
    <w:p>
      <w:pPr>
        <w:keepNext/>
        <w:numPr>
          <w:ilvl w:val="0"/>
          <w:numId w:val="1"/>
        </w:numPr>
        <w:tabs>
          <w:tab w:val="left" w:pos="360"/>
        </w:tabs>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采购预算</w:t>
      </w:r>
    </w:p>
    <w:p>
      <w:pPr>
        <w:ind w:left="420"/>
        <w:rPr>
          <w:rFonts w:ascii="Times New Roman" w:hAnsi="Times New Roman" w:eastAsia="宋体" w:cs="Times New Roman"/>
          <w:sz w:val="28"/>
          <w:szCs w:val="28"/>
        </w:rPr>
      </w:pPr>
      <w:r>
        <w:rPr>
          <w:rFonts w:hint="eastAsia" w:ascii="Times New Roman" w:hAnsi="Times New Roman" w:eastAsia="宋体" w:cs="Times New Roman"/>
          <w:sz w:val="28"/>
          <w:szCs w:val="28"/>
        </w:rPr>
        <w:t>采购预算价：￥</w:t>
      </w:r>
      <w:r>
        <w:rPr>
          <w:rFonts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650</w:t>
      </w:r>
      <w:r>
        <w:rPr>
          <w:rFonts w:ascii="Times New Roman" w:hAnsi="Times New Roman" w:eastAsia="宋体" w:cs="Times New Roman"/>
          <w:sz w:val="28"/>
          <w:szCs w:val="28"/>
        </w:rPr>
        <w:t>00.00</w:t>
      </w:r>
      <w:r>
        <w:rPr>
          <w:rFonts w:hint="eastAsia" w:ascii="Times New Roman" w:hAnsi="Times New Roman" w:eastAsia="宋体" w:cs="Times New Roman"/>
          <w:sz w:val="28"/>
          <w:szCs w:val="28"/>
        </w:rPr>
        <w:t>元</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设备清单</w:t>
      </w:r>
    </w:p>
    <w:tbl>
      <w:tblPr>
        <w:tblStyle w:val="24"/>
        <w:tblW w:w="10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3138"/>
        <w:gridCol w:w="1719"/>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72" w:type="dxa"/>
          </w:tcPr>
          <w:p>
            <w:pPr>
              <w:ind w:firstLine="562" w:firstLineChars="20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设备</w:t>
            </w:r>
          </w:p>
        </w:tc>
        <w:tc>
          <w:tcPr>
            <w:tcW w:w="3138" w:type="dxa"/>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品牌/</w:t>
            </w:r>
            <w:r>
              <w:rPr>
                <w:rFonts w:ascii="Times New Roman" w:hAnsi="Times New Roman" w:eastAsia="宋体" w:cs="Times New Roman"/>
                <w:b/>
                <w:bCs/>
                <w:kern w:val="0"/>
                <w:sz w:val="28"/>
                <w:szCs w:val="28"/>
              </w:rPr>
              <w:t>型号</w:t>
            </w:r>
          </w:p>
        </w:tc>
        <w:tc>
          <w:tcPr>
            <w:tcW w:w="1719" w:type="dxa"/>
          </w:tcPr>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数量</w:t>
            </w:r>
          </w:p>
        </w:tc>
        <w:tc>
          <w:tcPr>
            <w:tcW w:w="2889" w:type="dxa"/>
          </w:tcPr>
          <w:p>
            <w:pPr>
              <w:ind w:firstLine="562" w:firstLineChars="200"/>
              <w:jc w:val="left"/>
              <w:rPr>
                <w:rFonts w:hint="eastAsia" w:ascii="Times New Roman" w:hAnsi="Times New Roman" w:eastAsia="宋体" w:cs="Times New Roman"/>
                <w:b/>
                <w:bCs/>
                <w:kern w:val="0"/>
                <w:sz w:val="28"/>
                <w:szCs w:val="28"/>
                <w:lang w:eastAsia="zh-CN"/>
              </w:rPr>
            </w:pPr>
            <w:r>
              <w:rPr>
                <w:rFonts w:hint="eastAsia" w:ascii="Times New Roman" w:hAnsi="Times New Roman" w:eastAsia="宋体" w:cs="Times New Roman"/>
                <w:b/>
                <w:bCs/>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72"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数据存储设备</w:t>
            </w:r>
          </w:p>
        </w:tc>
        <w:tc>
          <w:tcPr>
            <w:tcW w:w="3138" w:type="dxa"/>
            <w:vAlign w:val="center"/>
          </w:tcPr>
          <w:p>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E</w:t>
            </w:r>
            <w:r>
              <w:rPr>
                <w:rFonts w:ascii="Times New Roman" w:hAnsi="Times New Roman" w:eastAsia="宋体" w:cs="Times New Roman"/>
                <w:kern w:val="2"/>
                <w:sz w:val="28"/>
                <w:szCs w:val="28"/>
              </w:rPr>
              <w:t>MC</w:t>
            </w:r>
            <w:r>
              <w:rPr>
                <w:rFonts w:hint="eastAsia" w:ascii="Times New Roman" w:hAnsi="Times New Roman" w:eastAsia="宋体" w:cs="Times New Roman"/>
                <w:kern w:val="2"/>
                <w:sz w:val="28"/>
                <w:szCs w:val="28"/>
                <w:lang w:val="en-US" w:eastAsia="zh-CN"/>
              </w:rPr>
              <w:t xml:space="preserve"> </w:t>
            </w:r>
            <w:r>
              <w:rPr>
                <w:rFonts w:ascii="Times New Roman" w:hAnsi="Times New Roman" w:eastAsia="宋体" w:cs="Times New Roman"/>
                <w:kern w:val="2"/>
                <w:sz w:val="28"/>
                <w:szCs w:val="28"/>
              </w:rPr>
              <w:t>VNX</w:t>
            </w:r>
            <w:r>
              <w:rPr>
                <w:rFonts w:hint="eastAsia" w:ascii="Times New Roman" w:hAnsi="Times New Roman" w:eastAsia="宋体" w:cs="Times New Roman"/>
                <w:kern w:val="2"/>
                <w:sz w:val="28"/>
                <w:szCs w:val="28"/>
              </w:rPr>
              <w:t>5500</w:t>
            </w:r>
          </w:p>
        </w:tc>
        <w:tc>
          <w:tcPr>
            <w:tcW w:w="1719" w:type="dxa"/>
            <w:vAlign w:val="center"/>
          </w:tcPr>
          <w:p>
            <w:pPr>
              <w:ind w:firstLine="560" w:firstLineChars="200"/>
              <w:jc w:val="left"/>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c>
          <w:tcPr>
            <w:tcW w:w="2889" w:type="dxa"/>
            <w:vAlign w:val="center"/>
          </w:tcPr>
          <w:p>
            <w:pPr>
              <w:jc w:val="left"/>
              <w:rPr>
                <w:rFonts w:hint="eastAsia" w:ascii="Times New Roman" w:hAnsi="Times New Roman" w:eastAsia="宋体" w:cs="Times New Roman"/>
                <w:kern w:val="2"/>
                <w:sz w:val="28"/>
                <w:szCs w:val="28"/>
                <w:lang w:eastAsia="zh-CN"/>
              </w:rPr>
            </w:pPr>
            <w:r>
              <w:rPr>
                <w:rFonts w:hint="eastAsia" w:ascii="Times New Roman" w:hAnsi="Times New Roman" w:eastAsia="宋体" w:cs="Times New Roman"/>
                <w:kern w:val="2"/>
                <w:sz w:val="28"/>
                <w:szCs w:val="28"/>
                <w:lang w:eastAsia="zh-CN"/>
              </w:rPr>
              <w:t>包含设备挂载的全部硬盘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72"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连续数据保护装置</w:t>
            </w:r>
          </w:p>
        </w:tc>
        <w:tc>
          <w:tcPr>
            <w:tcW w:w="3138" w:type="dxa"/>
            <w:vAlign w:val="center"/>
          </w:tcPr>
          <w:p>
            <w:pPr>
              <w:rPr>
                <w:rFonts w:hint="eastAsia" w:ascii="Times New Roman" w:hAnsi="Times New Roman" w:eastAsia="宋体" w:cs="Times New Roman"/>
                <w:kern w:val="2"/>
                <w:sz w:val="28"/>
                <w:szCs w:val="28"/>
                <w:lang w:val="en-US" w:eastAsia="zh-CN"/>
              </w:rPr>
            </w:pPr>
            <w:r>
              <w:rPr>
                <w:rFonts w:ascii="Times New Roman" w:hAnsi="Times New Roman" w:eastAsia="宋体" w:cs="Times New Roman"/>
                <w:kern w:val="2"/>
                <w:sz w:val="28"/>
                <w:szCs w:val="28"/>
              </w:rPr>
              <w:t>R</w:t>
            </w:r>
            <w:r>
              <w:rPr>
                <w:rFonts w:hint="eastAsia" w:ascii="Times New Roman" w:hAnsi="Times New Roman" w:eastAsia="宋体" w:cs="Times New Roman"/>
                <w:kern w:val="2"/>
                <w:sz w:val="28"/>
                <w:szCs w:val="28"/>
              </w:rPr>
              <w:t>ecoverpoint</w:t>
            </w:r>
            <w:r>
              <w:rPr>
                <w:rFonts w:hint="eastAsia" w:ascii="Times New Roman" w:hAnsi="Times New Roman" w:eastAsia="宋体" w:cs="Times New Roman"/>
                <w:kern w:val="2"/>
                <w:sz w:val="28"/>
                <w:szCs w:val="28"/>
                <w:lang w:val="en-US" w:eastAsia="zh-CN"/>
              </w:rPr>
              <w:t xml:space="preserve"> </w:t>
            </w:r>
          </w:p>
        </w:tc>
        <w:tc>
          <w:tcPr>
            <w:tcW w:w="1719"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c>
          <w:tcPr>
            <w:tcW w:w="2889" w:type="dxa"/>
            <w:vAlign w:val="center"/>
          </w:tcPr>
          <w:p>
            <w:pPr>
              <w:ind w:firstLine="560" w:firstLineChars="200"/>
              <w:rPr>
                <w:rFonts w:hint="eastAsia"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672"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光纤交换机</w:t>
            </w:r>
          </w:p>
        </w:tc>
        <w:tc>
          <w:tcPr>
            <w:tcW w:w="3138"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DS</w:t>
            </w:r>
            <w:r>
              <w:rPr>
                <w:rFonts w:hint="eastAsia" w:ascii="Times New Roman" w:hAnsi="Times New Roman" w:eastAsia="宋体" w:cs="Times New Roman"/>
                <w:kern w:val="2"/>
                <w:sz w:val="28"/>
                <w:szCs w:val="28"/>
                <w:lang w:val="en-US" w:eastAsia="zh-CN"/>
              </w:rPr>
              <w:t>-</w:t>
            </w:r>
            <w:r>
              <w:rPr>
                <w:rFonts w:hint="eastAsia" w:ascii="Times New Roman" w:hAnsi="Times New Roman" w:eastAsia="宋体" w:cs="Times New Roman"/>
                <w:kern w:val="2"/>
                <w:sz w:val="28"/>
                <w:szCs w:val="28"/>
              </w:rPr>
              <w:t>300</w:t>
            </w:r>
            <w:r>
              <w:rPr>
                <w:rFonts w:ascii="Times New Roman" w:hAnsi="Times New Roman" w:eastAsia="宋体" w:cs="Times New Roman"/>
                <w:kern w:val="2"/>
                <w:sz w:val="28"/>
                <w:szCs w:val="28"/>
              </w:rPr>
              <w:t>B</w:t>
            </w:r>
          </w:p>
        </w:tc>
        <w:tc>
          <w:tcPr>
            <w:tcW w:w="1719"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4台</w:t>
            </w:r>
          </w:p>
        </w:tc>
        <w:tc>
          <w:tcPr>
            <w:tcW w:w="2889" w:type="dxa"/>
            <w:vAlign w:val="center"/>
          </w:tcPr>
          <w:p>
            <w:pPr>
              <w:ind w:firstLine="560" w:firstLineChars="200"/>
              <w:rPr>
                <w:rFonts w:hint="eastAsia" w:ascii="Times New Roman" w:hAnsi="Times New Roman" w:eastAsia="宋体" w:cs="Times New Roman"/>
                <w:kern w:val="2"/>
                <w:sz w:val="28"/>
                <w:szCs w:val="28"/>
              </w:rPr>
            </w:pPr>
          </w:p>
        </w:tc>
      </w:tr>
    </w:tbl>
    <w:p>
      <w:pPr>
        <w:rPr>
          <w:rFonts w:ascii="Times New Roman" w:hAnsi="Times New Roman" w:eastAsia="宋体" w:cs="Times New Roman"/>
          <w:b/>
          <w:sz w:val="28"/>
          <w:szCs w:val="28"/>
        </w:rPr>
      </w:pP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硬件设备维保服务内容及服务要求</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.1  在设备清单中列出的所有设备，包括设备中安装的所有部件及其上运行的软件均属于此次维保服务的内容。</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2  设备服务要求如下：</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服务商应处理并解决现有设备存在故障，保证数据安全及设备运行稳定；</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更换的设备及部件要求是符合使用标准的正规配件，现场按要求配置相应数量的常用备件，以满足故障快速处理要求；</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服务商现场服务工程师应具备相关产品认证资质，并具备相关技术能力处理解决问题；</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在接到报修电话后，30分钟内响应，如果需要现场服务，服务商工程师4-6小时到达现场；</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每个月至少一次由服务商技术支持工程师对系统运行状况进行健康检查，并提供系统健康检查报告；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配合使用数据连续保护装置进行容灾演练；</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提供7x24x4技术及备件支持；</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每次故障处理完成，要求提供故障分析及处理报告；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服务商完成各项服务内容并由我方对服务质量进行季度考核，未达到考核标准不予结算当季服务费用</w:t>
      </w:r>
      <w:r>
        <w:rPr>
          <w:rFonts w:hint="eastAsia" w:ascii="Times New Roman" w:hAnsi="Times New Roman" w:eastAsia="宋体" w:cs="Times New Roman"/>
          <w:sz w:val="28"/>
          <w:szCs w:val="28"/>
          <w:lang w:eastAsia="zh-CN"/>
        </w:rPr>
        <w:t>；</w:t>
      </w:r>
    </w:p>
    <w:p>
      <w:pPr>
        <w:numPr>
          <w:ilvl w:val="0"/>
          <w:numId w:val="2"/>
        </w:numP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服务商需要协助我方完成相应平台数据备份工作。</w:t>
      </w:r>
    </w:p>
    <w:p>
      <w:pPr>
        <w:pStyle w:val="42"/>
        <w:ind w:left="720" w:firstLine="0" w:firstLineChars="0"/>
        <w:rPr>
          <w:rFonts w:hint="eastAsia"/>
          <w:sz w:val="28"/>
          <w:szCs w:val="28"/>
        </w:rPr>
      </w:pPr>
      <w:bookmarkStart w:id="1" w:name="_GoBack"/>
      <w:bookmarkEnd w:id="1"/>
    </w:p>
    <w:p>
      <w:pPr>
        <w:ind w:left="420"/>
        <w:rPr>
          <w:sz w:val="28"/>
          <w:szCs w:val="28"/>
        </w:rPr>
      </w:pPr>
      <w:r>
        <w:rPr>
          <w:rFonts w:hint="eastAsia"/>
          <w:sz w:val="28"/>
          <w:szCs w:val="28"/>
        </w:rPr>
        <w:t>附件：服务质量考核表</w:t>
      </w:r>
    </w:p>
    <w:p>
      <w:pPr>
        <w:jc w:val="center"/>
        <w:rPr>
          <w:rFonts w:hAnsi="宋体"/>
          <w:b/>
          <w:iCs/>
          <w:color w:val="000000" w:themeColor="text1"/>
          <w:sz w:val="36"/>
          <w:szCs w:val="36"/>
          <w14:textFill>
            <w14:solidFill>
              <w14:schemeClr w14:val="tx1"/>
            </w14:solidFill>
          </w14:textFill>
        </w:rPr>
      </w:pPr>
      <w:r>
        <w:rPr>
          <w:rFonts w:hint="eastAsia" w:hAnsi="宋体"/>
          <w:b/>
          <w:iCs/>
          <w:color w:val="000000" w:themeColor="text1"/>
          <w:sz w:val="36"/>
          <w:szCs w:val="36"/>
          <w14:textFill>
            <w14:solidFill>
              <w14:schemeClr w14:val="tx1"/>
            </w14:solidFill>
          </w14:textFill>
        </w:rPr>
        <w:t>维保</w:t>
      </w:r>
      <w:r>
        <w:rPr>
          <w:rFonts w:hAnsi="宋体"/>
          <w:b/>
          <w:iCs/>
          <w:color w:val="000000" w:themeColor="text1"/>
          <w:sz w:val="36"/>
          <w:szCs w:val="36"/>
          <w14:textFill>
            <w14:solidFill>
              <w14:schemeClr w14:val="tx1"/>
            </w14:solidFill>
          </w14:textFill>
        </w:rPr>
        <w:t>服务</w:t>
      </w:r>
      <w:r>
        <w:rPr>
          <w:rFonts w:hint="eastAsia" w:hAnsi="宋体"/>
          <w:b/>
          <w:iCs/>
          <w:color w:val="000000" w:themeColor="text1"/>
          <w:sz w:val="36"/>
          <w:szCs w:val="36"/>
          <w14:textFill>
            <w14:solidFill>
              <w14:schemeClr w14:val="tx1"/>
            </w14:solidFill>
          </w14:textFill>
        </w:rPr>
        <w:t>质量</w:t>
      </w:r>
      <w:r>
        <w:rPr>
          <w:rFonts w:hAnsi="宋体"/>
          <w:b/>
          <w:iCs/>
          <w:color w:val="000000" w:themeColor="text1"/>
          <w:sz w:val="36"/>
          <w:szCs w:val="36"/>
          <w14:textFill>
            <w14:solidFill>
              <w14:schemeClr w14:val="tx1"/>
            </w14:solidFill>
          </w14:textFill>
        </w:rPr>
        <w:t>考核</w:t>
      </w:r>
      <w:r>
        <w:rPr>
          <w:rFonts w:hint="eastAsia" w:hAnsi="宋体"/>
          <w:b/>
          <w:iCs/>
          <w:color w:val="000000" w:themeColor="text1"/>
          <w:sz w:val="36"/>
          <w:szCs w:val="36"/>
          <w14:textFill>
            <w14:solidFill>
              <w14:schemeClr w14:val="tx1"/>
            </w14:solidFill>
          </w14:textFill>
        </w:rPr>
        <w:t>表</w:t>
      </w:r>
    </w:p>
    <w:p>
      <w:pPr>
        <w:jc w:val="center"/>
        <w:rPr>
          <w:sz w:val="28"/>
          <w:szCs w:val="28"/>
        </w:rPr>
      </w:pP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80"/>
        <w:gridCol w:w="2109"/>
        <w:gridCol w:w="706"/>
        <w:gridCol w:w="696"/>
        <w:gridCol w:w="123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服务项目</w:t>
            </w:r>
          </w:p>
        </w:tc>
        <w:tc>
          <w:tcPr>
            <w:tcW w:w="1280"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w:t>
            </w:r>
            <w:r>
              <w:rPr>
                <w:rFonts w:ascii="宋体" w:hAnsi="宋体"/>
                <w:b/>
                <w:color w:val="000000" w:themeColor="text1"/>
                <w14:textFill>
                  <w14:solidFill>
                    <w14:schemeClr w14:val="tx1"/>
                  </w14:solidFill>
                </w14:textFill>
              </w:rPr>
              <w:t>内容</w:t>
            </w:r>
          </w:p>
        </w:tc>
        <w:tc>
          <w:tcPr>
            <w:tcW w:w="2109"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要求</w:t>
            </w:r>
          </w:p>
        </w:tc>
        <w:tc>
          <w:tcPr>
            <w:tcW w:w="706" w:type="dxa"/>
            <w:shd w:val="clear" w:color="auto" w:fill="BFBFBF"/>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权重 </w:t>
            </w:r>
            <w:r>
              <w:rPr>
                <w:rFonts w:ascii="宋体" w:hAnsi="宋体"/>
                <w:b/>
                <w:color w:val="000000" w:themeColor="text1"/>
                <w14:textFill>
                  <w14:solidFill>
                    <w14:schemeClr w14:val="tx1"/>
                  </w14:solidFill>
                </w14:textFill>
              </w:rPr>
              <w:t>%</w:t>
            </w:r>
          </w:p>
        </w:tc>
        <w:tc>
          <w:tcPr>
            <w:tcW w:w="69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考核</w:t>
            </w:r>
            <w:r>
              <w:rPr>
                <w:rFonts w:ascii="宋体" w:hAnsi="宋体"/>
                <w:b/>
                <w:color w:val="000000" w:themeColor="text1"/>
                <w14:textFill>
                  <w14:solidFill>
                    <w14:schemeClr w14:val="tx1"/>
                  </w14:solidFill>
                </w14:textFill>
              </w:rPr>
              <w:t>周期</w:t>
            </w:r>
          </w:p>
        </w:tc>
        <w:tc>
          <w:tcPr>
            <w:tcW w:w="123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w:t>
            </w:r>
            <w:r>
              <w:rPr>
                <w:rFonts w:ascii="宋体" w:hAnsi="宋体"/>
                <w:b/>
                <w:color w:val="000000" w:themeColor="text1"/>
                <w14:textFill>
                  <w14:solidFill>
                    <w14:schemeClr w14:val="tx1"/>
                  </w14:solidFill>
                </w14:textFill>
              </w:rPr>
              <w:t>情况</w:t>
            </w:r>
          </w:p>
        </w:tc>
        <w:tc>
          <w:tcPr>
            <w:tcW w:w="1015"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定期巡检服务</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月度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按月</w:t>
            </w:r>
            <w:r>
              <w:rPr>
                <w:rFonts w:ascii="宋体" w:hAnsi="宋体"/>
                <w:color w:val="000000" w:themeColor="text1"/>
                <w14:textFill>
                  <w14:solidFill>
                    <w14:schemeClr w14:val="tx1"/>
                  </w14:solidFill>
                </w14:textFill>
              </w:rPr>
              <w:t>巡检</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提交巡检报告</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季度巡检</w:t>
            </w:r>
            <w:r>
              <w:rPr>
                <w:rFonts w:hint="eastAsia" w:ascii="宋体" w:hAnsi="宋体"/>
                <w:color w:val="000000" w:themeColor="text1"/>
                <w14:textFill>
                  <w14:solidFill>
                    <w14:schemeClr w14:val="tx1"/>
                  </w14:solidFill>
                </w14:textFill>
              </w:rPr>
              <w:t>报告汇总</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故障处理</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硬件故障</w:t>
            </w:r>
          </w:p>
        </w:tc>
        <w:tc>
          <w:tcPr>
            <w:tcW w:w="2109" w:type="dxa"/>
            <w:vMerge w:val="restart"/>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紧急故障在15分钟内响应，技术服务工程师4小时内到达现场，常用备件（如：存储硬盘）4小时内将与技术服务工程师一起到达现场。</w:t>
            </w:r>
            <w:r>
              <w:rPr>
                <w:rFonts w:ascii="宋体" w:hAnsi="宋体"/>
                <w:color w:val="000000" w:themeColor="text1"/>
                <w14:textFill>
                  <w14:solidFill>
                    <w14:schemeClr w14:val="tx1"/>
                  </w14:solidFill>
                </w14:textFill>
              </w:rPr>
              <w:t>现场</w:t>
            </w:r>
            <w:r>
              <w:rPr>
                <w:rFonts w:hint="eastAsia" w:ascii="宋体" w:hAnsi="宋体"/>
                <w:color w:val="000000" w:themeColor="text1"/>
                <w14:textFill>
                  <w14:solidFill>
                    <w14:schemeClr w14:val="tx1"/>
                  </w14:solidFill>
                </w14:textFill>
              </w:rPr>
              <w:t>无</w:t>
            </w:r>
            <w:r>
              <w:rPr>
                <w:rFonts w:ascii="宋体" w:hAnsi="宋体"/>
                <w:color w:val="000000" w:themeColor="text1"/>
                <w14:textFill>
                  <w14:solidFill>
                    <w14:schemeClr w14:val="tx1"/>
                  </w14:solidFill>
                </w14:textFill>
              </w:rPr>
              <w:t>备件</w:t>
            </w:r>
            <w:r>
              <w:rPr>
                <w:rFonts w:hint="eastAsia" w:ascii="宋体" w:hAnsi="宋体"/>
                <w:color w:val="000000" w:themeColor="text1"/>
                <w14:textFill>
                  <w14:solidFill>
                    <w14:schemeClr w14:val="tx1"/>
                  </w14:solidFill>
                </w14:textFill>
              </w:rPr>
              <w:t>情况，</w:t>
            </w:r>
            <w:r>
              <w:rPr>
                <w:rFonts w:ascii="宋体" w:hAnsi="宋体"/>
                <w:color w:val="000000" w:themeColor="text1"/>
                <w14:textFill>
                  <w14:solidFill>
                    <w14:schemeClr w14:val="tx1"/>
                  </w14:solidFill>
                </w14:textFill>
              </w:rPr>
              <w:t>一周内</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处理</w:t>
            </w:r>
          </w:p>
        </w:tc>
        <w:tc>
          <w:tcPr>
            <w:tcW w:w="706" w:type="dxa"/>
            <w:shd w:val="clear" w:color="auto" w:fill="auto"/>
            <w:vAlign w:val="center"/>
          </w:tcPr>
          <w:p>
            <w:pPr>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性能诊断</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设备微码升级及已知bug处理</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支持</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提供存储资源分配、存储容灾配置日常运维服务及性能、配置信息收集</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b/>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远程</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提供7*24小时电话服务，提供</w:t>
            </w:r>
            <w:r>
              <w:rPr>
                <w:rFonts w:ascii="宋体" w:hAnsi="宋体" w:cs="宋体"/>
                <w:color w:val="000000" w:themeColor="text1"/>
                <w:szCs w:val="21"/>
                <w14:textFill>
                  <w14:solidFill>
                    <w14:schemeClr w14:val="tx1"/>
                  </w14:solidFill>
                </w14:textFill>
              </w:rPr>
              <w:t>远程</w:t>
            </w:r>
            <w:r>
              <w:rPr>
                <w:rFonts w:hint="eastAsia" w:ascii="宋体" w:hAnsi="宋体" w:cs="宋体"/>
                <w:color w:val="000000" w:themeColor="text1"/>
                <w:szCs w:val="21"/>
                <w14:textFill>
                  <w14:solidFill>
                    <w14:schemeClr w14:val="tx1"/>
                  </w14:solidFill>
                </w14:textFill>
              </w:rPr>
              <w:t>远程诊断及技术支持</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提供常用</w:t>
            </w:r>
            <w:r>
              <w:rPr>
                <w:rFonts w:ascii="宋体" w:hAnsi="宋体"/>
                <w:color w:val="000000" w:themeColor="text1"/>
                <w14:textFill>
                  <w14:solidFill>
                    <w14:schemeClr w14:val="tx1"/>
                  </w14:solidFill>
                </w14:textFill>
              </w:rPr>
              <w:t>现场备件，提高</w:t>
            </w:r>
            <w:r>
              <w:rPr>
                <w:rFonts w:hint="eastAsia" w:ascii="宋体" w:hAnsi="宋体"/>
                <w:color w:val="000000" w:themeColor="text1"/>
                <w14:textFill>
                  <w14:solidFill>
                    <w14:schemeClr w14:val="tx1"/>
                  </w14:solidFill>
                </w14:textFill>
              </w:rPr>
              <w:t>维修</w:t>
            </w:r>
            <w:r>
              <w:rPr>
                <w:rFonts w:ascii="宋体" w:hAnsi="宋体"/>
                <w:color w:val="000000" w:themeColor="text1"/>
                <w14:textFill>
                  <w14:solidFill>
                    <w14:schemeClr w14:val="tx1"/>
                  </w14:solidFill>
                </w14:textFill>
              </w:rPr>
              <w:t>效率</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w:t>
            </w:r>
            <w:r>
              <w:rPr>
                <w:rFonts w:ascii="宋体" w:hAnsi="宋体"/>
                <w:color w:val="000000" w:themeColor="text1"/>
                <w14:textFill>
                  <w14:solidFill>
                    <w14:schemeClr w14:val="tx1"/>
                  </w14:solidFill>
                </w14:textFill>
              </w:rPr>
              <w:t>服务完成情况</w:t>
            </w:r>
            <w:r>
              <w:rPr>
                <w:rFonts w:hint="eastAsia" w:ascii="宋体" w:hAnsi="宋体"/>
                <w:color w:val="000000" w:themeColor="text1"/>
                <w14:textFill>
                  <w14:solidFill>
                    <w14:schemeClr w14:val="tx1"/>
                  </w14:solidFill>
                </w14:textFill>
              </w:rPr>
              <w:t>（权重</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维保服务</w:t>
            </w:r>
            <w:r>
              <w:rPr>
                <w:rFonts w:ascii="宋体" w:hAnsi="宋体"/>
                <w:color w:val="000000" w:themeColor="text1"/>
                <w14:textFill>
                  <w14:solidFill>
                    <w14:schemeClr w14:val="tx1"/>
                  </w14:solidFill>
                </w14:textFill>
              </w:rPr>
              <w:t>完成质量</w:t>
            </w:r>
            <w:r>
              <w:rPr>
                <w:rFonts w:hint="eastAsia" w:ascii="宋体" w:hAnsi="宋体"/>
                <w:color w:val="000000" w:themeColor="text1"/>
                <w14:textFill>
                  <w14:solidFill>
                    <w14:schemeClr w14:val="tx1"/>
                  </w14:solidFill>
                </w14:textFill>
              </w:rPr>
              <w:t>评估</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优秀/优良/良好/较差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ascii="宋体" w:hAnsi="宋体"/>
                <w:color w:val="000000" w:themeColor="text1"/>
                <w14:textFill>
                  <w14:solidFill>
                    <w14:schemeClr w14:val="tx1"/>
                  </w14:solidFill>
                </w14:textFill>
              </w:rPr>
              <w:t>人员</w:t>
            </w:r>
            <w:r>
              <w:rPr>
                <w:rFonts w:hint="eastAsia" w:ascii="宋体" w:hAnsi="宋体"/>
                <w:color w:val="000000" w:themeColor="text1"/>
                <w14:textFill>
                  <w14:solidFill>
                    <w14:schemeClr w14:val="tx1"/>
                  </w14:solidFill>
                </w14:textFill>
              </w:rPr>
              <w:t>意见、</w:t>
            </w:r>
            <w:r>
              <w:rPr>
                <w:rFonts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签字</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r>
              <w:rPr>
                <w:rFonts w:ascii="宋体" w:hAnsi="宋体"/>
                <w:color w:val="000000" w:themeColor="text1"/>
                <w14:textFill>
                  <w14:solidFill>
                    <w14:schemeClr w14:val="tx1"/>
                  </w14:solidFill>
                </w14:textFill>
              </w:rPr>
              <w:t>工程师</w:t>
            </w:r>
            <w:r>
              <w:rPr>
                <w:rFonts w:hint="eastAsia"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bl>
    <w:p/>
    <w:p/>
    <w:p>
      <w:pPr>
        <w:ind w:left="420"/>
        <w:rPr>
          <w:sz w:val="28"/>
          <w:szCs w:val="28"/>
        </w:rPr>
      </w:pPr>
    </w:p>
    <w:sectPr>
      <w:head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20A"/>
    <w:multiLevelType w:val="multilevel"/>
    <w:tmpl w:val="20C9020A"/>
    <w:lvl w:ilvl="0" w:tentative="0">
      <w:start w:val="1"/>
      <w:numFmt w:val="japaneseCounting"/>
      <w:lvlText w:val="%1、"/>
      <w:lvlJc w:val="left"/>
      <w:pPr>
        <w:tabs>
          <w:tab w:val="left" w:pos="720"/>
        </w:tabs>
        <w:ind w:left="720" w:hanging="720"/>
      </w:pPr>
      <w:rPr>
        <w:rFonts w:hint="default"/>
        <w:b w:val="0"/>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B85782"/>
    <w:multiLevelType w:val="multilevel"/>
    <w:tmpl w:val="51B8578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YTNiMzgwNmM4ZjVlZWFlZDRkZWRiOGRjODg3Y2QifQ=="/>
  </w:docVars>
  <w:rsids>
    <w:rsidRoot w:val="00C524CD"/>
    <w:rsid w:val="0003694F"/>
    <w:rsid w:val="00056AE8"/>
    <w:rsid w:val="0009409C"/>
    <w:rsid w:val="000A6E92"/>
    <w:rsid w:val="000C39DA"/>
    <w:rsid w:val="00105F29"/>
    <w:rsid w:val="00176753"/>
    <w:rsid w:val="001A6724"/>
    <w:rsid w:val="001C5DEA"/>
    <w:rsid w:val="001E45DE"/>
    <w:rsid w:val="00225829"/>
    <w:rsid w:val="00231B45"/>
    <w:rsid w:val="00277D4A"/>
    <w:rsid w:val="00281FB8"/>
    <w:rsid w:val="002D4878"/>
    <w:rsid w:val="002D5D64"/>
    <w:rsid w:val="002E1AA8"/>
    <w:rsid w:val="0030353A"/>
    <w:rsid w:val="00315E99"/>
    <w:rsid w:val="003260A2"/>
    <w:rsid w:val="00364EA0"/>
    <w:rsid w:val="0039338A"/>
    <w:rsid w:val="003E6487"/>
    <w:rsid w:val="00423DA3"/>
    <w:rsid w:val="004473EE"/>
    <w:rsid w:val="004C5B3C"/>
    <w:rsid w:val="004F755A"/>
    <w:rsid w:val="00522515"/>
    <w:rsid w:val="00565443"/>
    <w:rsid w:val="005924E5"/>
    <w:rsid w:val="005C1E50"/>
    <w:rsid w:val="005E5D64"/>
    <w:rsid w:val="005F362A"/>
    <w:rsid w:val="00663A7C"/>
    <w:rsid w:val="00683E32"/>
    <w:rsid w:val="006B5D0A"/>
    <w:rsid w:val="006D20C7"/>
    <w:rsid w:val="00710425"/>
    <w:rsid w:val="0073628E"/>
    <w:rsid w:val="007A2311"/>
    <w:rsid w:val="008668A4"/>
    <w:rsid w:val="008A2700"/>
    <w:rsid w:val="008E16B4"/>
    <w:rsid w:val="00916524"/>
    <w:rsid w:val="009419F4"/>
    <w:rsid w:val="00946046"/>
    <w:rsid w:val="009C6284"/>
    <w:rsid w:val="009E3B2A"/>
    <w:rsid w:val="009F3CF4"/>
    <w:rsid w:val="00A018C9"/>
    <w:rsid w:val="00A11B3B"/>
    <w:rsid w:val="00A27EA2"/>
    <w:rsid w:val="00A65B98"/>
    <w:rsid w:val="00B52FD1"/>
    <w:rsid w:val="00B67493"/>
    <w:rsid w:val="00B774D8"/>
    <w:rsid w:val="00B81B2F"/>
    <w:rsid w:val="00B81D92"/>
    <w:rsid w:val="00B87FCE"/>
    <w:rsid w:val="00BB6532"/>
    <w:rsid w:val="00BC69FC"/>
    <w:rsid w:val="00BF342A"/>
    <w:rsid w:val="00BF6841"/>
    <w:rsid w:val="00C24A6F"/>
    <w:rsid w:val="00C40A98"/>
    <w:rsid w:val="00C524CD"/>
    <w:rsid w:val="00C6063B"/>
    <w:rsid w:val="00C92FB5"/>
    <w:rsid w:val="00CA47A6"/>
    <w:rsid w:val="00D10154"/>
    <w:rsid w:val="00D35D84"/>
    <w:rsid w:val="00D731FC"/>
    <w:rsid w:val="00D732D2"/>
    <w:rsid w:val="00DC3FFE"/>
    <w:rsid w:val="00DC6F8C"/>
    <w:rsid w:val="00DD3AB8"/>
    <w:rsid w:val="00E0640F"/>
    <w:rsid w:val="00E2424F"/>
    <w:rsid w:val="00E316B2"/>
    <w:rsid w:val="00E3410F"/>
    <w:rsid w:val="00E36940"/>
    <w:rsid w:val="00E83BAE"/>
    <w:rsid w:val="00F144C7"/>
    <w:rsid w:val="00F2307B"/>
    <w:rsid w:val="00F73D1A"/>
    <w:rsid w:val="00F90963"/>
    <w:rsid w:val="0BD36176"/>
    <w:rsid w:val="10A675C6"/>
    <w:rsid w:val="21B534E6"/>
    <w:rsid w:val="338C736A"/>
    <w:rsid w:val="380C61F6"/>
    <w:rsid w:val="49D9339A"/>
    <w:rsid w:val="53E6011C"/>
    <w:rsid w:val="59030B09"/>
    <w:rsid w:val="654F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outlineLvl w:val="0"/>
    </w:pPr>
    <w:rPr>
      <w:rFonts w:ascii="宋体" w:hAnsi="Times New Roman" w:eastAsia="宋体" w:cs="Times New Roman"/>
      <w:b/>
      <w:color w:val="000000"/>
      <w:sz w:val="24"/>
      <w:szCs w:val="20"/>
    </w:rPr>
  </w:style>
  <w:style w:type="paragraph" w:styleId="3">
    <w:name w:val="heading 2"/>
    <w:basedOn w:val="1"/>
    <w:next w:val="1"/>
    <w:link w:val="31"/>
    <w:qFormat/>
    <w:uiPriority w:val="0"/>
    <w:pPr>
      <w:keepNext/>
      <w:outlineLvl w:val="1"/>
    </w:pPr>
    <w:rPr>
      <w:rFonts w:ascii="幼圆" w:hAnsi="Times New Roman" w:eastAsia="幼圆" w:cs="Times New Roman"/>
      <w:b/>
      <w:color w:val="0000FF"/>
      <w:sz w:val="16"/>
      <w:szCs w:val="24"/>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rPr>
      <w:rFonts w:ascii="Times New Roman" w:hAnsi="Times New Roman" w:eastAsia="宋体" w:cs="Times New Roman"/>
      <w:sz w:val="20"/>
      <w:szCs w:val="20"/>
    </w:rPr>
  </w:style>
  <w:style w:type="paragraph" w:styleId="6">
    <w:name w:val="annotation text"/>
    <w:basedOn w:val="1"/>
    <w:semiHidden/>
    <w:unhideWhenUsed/>
    <w:qFormat/>
    <w:uiPriority w:val="99"/>
    <w:pPr>
      <w:jc w:val="left"/>
    </w:pPr>
  </w:style>
  <w:style w:type="paragraph" w:styleId="7">
    <w:name w:val="Body Text"/>
    <w:basedOn w:val="1"/>
    <w:link w:val="35"/>
    <w:qFormat/>
    <w:uiPriority w:val="0"/>
    <w:rPr>
      <w:rFonts w:ascii="Times New Roman" w:hAnsi="Times New Roman" w:eastAsia="宋体" w:cs="Times New Roman"/>
      <w:sz w:val="24"/>
      <w:szCs w:val="24"/>
    </w:rPr>
  </w:style>
  <w:style w:type="paragraph" w:styleId="8">
    <w:name w:val="Body Text Indent"/>
    <w:basedOn w:val="1"/>
    <w:link w:val="32"/>
    <w:qFormat/>
    <w:uiPriority w:val="0"/>
    <w:pPr>
      <w:spacing w:line="360" w:lineRule="auto"/>
      <w:ind w:firstLine="540" w:firstLineChars="225"/>
    </w:pPr>
    <w:rPr>
      <w:rFonts w:ascii="Times New Roman" w:hAnsi="Times New Roman" w:eastAsia="宋体" w:cs="Times New Roman"/>
      <w:sz w:val="24"/>
      <w:szCs w:val="24"/>
    </w:rPr>
  </w:style>
  <w:style w:type="paragraph" w:styleId="9">
    <w:name w:val="toc 5"/>
    <w:basedOn w:val="1"/>
    <w:next w:val="1"/>
    <w:semiHidden/>
    <w:qFormat/>
    <w:uiPriority w:val="0"/>
    <w:pPr>
      <w:ind w:left="630"/>
      <w:jc w:val="left"/>
    </w:pPr>
    <w:rPr>
      <w:rFonts w:ascii="Times New Roman" w:hAnsi="Times New Roman" w:eastAsia="宋体" w:cs="Times New Roman"/>
      <w:sz w:val="20"/>
      <w:szCs w:val="20"/>
    </w:rPr>
  </w:style>
  <w:style w:type="paragraph" w:styleId="10">
    <w:name w:val="toc 3"/>
    <w:basedOn w:val="1"/>
    <w:next w:val="1"/>
    <w:semiHidden/>
    <w:qFormat/>
    <w:uiPriority w:val="0"/>
    <w:pPr>
      <w:ind w:left="210"/>
      <w:jc w:val="left"/>
    </w:pPr>
    <w:rPr>
      <w:rFonts w:ascii="Times New Roman" w:hAnsi="Times New Roman" w:eastAsia="宋体" w:cs="Times New Roman"/>
      <w:sz w:val="20"/>
      <w:szCs w:val="20"/>
    </w:rPr>
  </w:style>
  <w:style w:type="paragraph" w:styleId="11">
    <w:name w:val="toc 8"/>
    <w:basedOn w:val="1"/>
    <w:next w:val="1"/>
    <w:semiHidden/>
    <w:qFormat/>
    <w:uiPriority w:val="0"/>
    <w:pPr>
      <w:ind w:left="1260"/>
      <w:jc w:val="left"/>
    </w:pPr>
    <w:rPr>
      <w:rFonts w:ascii="Times New Roman" w:hAnsi="Times New Roman" w:eastAsia="宋体" w:cs="Times New Roman"/>
      <w:sz w:val="20"/>
      <w:szCs w:val="20"/>
    </w:rPr>
  </w:style>
  <w:style w:type="paragraph" w:styleId="12">
    <w:name w:val="Date"/>
    <w:basedOn w:val="1"/>
    <w:next w:val="1"/>
    <w:link w:val="36"/>
    <w:qFormat/>
    <w:uiPriority w:val="0"/>
    <w:pPr>
      <w:ind w:left="100" w:leftChars="2500"/>
    </w:pPr>
    <w:rPr>
      <w:rFonts w:ascii="Times New Roman" w:hAnsi="Times New Roman" w:eastAsia="宋体" w:cs="Times New Roman"/>
      <w:sz w:val="24"/>
      <w:szCs w:val="24"/>
    </w:rPr>
  </w:style>
  <w:style w:type="paragraph" w:styleId="13">
    <w:name w:val="Body Text Indent 2"/>
    <w:basedOn w:val="1"/>
    <w:link w:val="33"/>
    <w:qFormat/>
    <w:uiPriority w:val="0"/>
    <w:pPr>
      <w:spacing w:line="360" w:lineRule="auto"/>
      <w:ind w:left="540" w:firstLine="540" w:firstLineChars="225"/>
    </w:pPr>
    <w:rPr>
      <w:rFonts w:ascii="Times New Roman" w:hAnsi="Times New Roman" w:eastAsia="宋体" w:cs="Times New Roman"/>
      <w:sz w:val="24"/>
      <w:szCs w:val="24"/>
    </w:rPr>
  </w:style>
  <w:style w:type="paragraph" w:styleId="14">
    <w:name w:val="Balloon Text"/>
    <w:basedOn w:val="1"/>
    <w:link w:val="41"/>
    <w:qFormat/>
    <w:uiPriority w:val="0"/>
    <w:rPr>
      <w:rFonts w:ascii="Times New Roman" w:hAnsi="Times New Roman" w:eastAsia="宋体" w:cs="Times New Roman"/>
      <w:sz w:val="18"/>
      <w:szCs w:val="18"/>
    </w:rPr>
  </w:style>
  <w:style w:type="paragraph" w:styleId="15">
    <w:name w:val="footer"/>
    <w:basedOn w:val="1"/>
    <w:link w:val="3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semiHidden/>
    <w:qFormat/>
    <w:uiPriority w:val="0"/>
    <w:pPr>
      <w:spacing w:before="360"/>
      <w:jc w:val="left"/>
    </w:pPr>
    <w:rPr>
      <w:rFonts w:ascii="Arial" w:hAnsi="Arial" w:eastAsia="宋体" w:cs="Arial"/>
      <w:b/>
      <w:bCs/>
      <w:caps/>
      <w:sz w:val="24"/>
      <w:szCs w:val="24"/>
    </w:rPr>
  </w:style>
  <w:style w:type="paragraph" w:styleId="18">
    <w:name w:val="toc 4"/>
    <w:basedOn w:val="1"/>
    <w:next w:val="1"/>
    <w:semiHidden/>
    <w:qFormat/>
    <w:uiPriority w:val="0"/>
    <w:pPr>
      <w:ind w:left="420"/>
      <w:jc w:val="left"/>
    </w:pPr>
    <w:rPr>
      <w:rFonts w:ascii="Times New Roman" w:hAnsi="Times New Roman" w:eastAsia="宋体" w:cs="Times New Roman"/>
      <w:sz w:val="20"/>
      <w:szCs w:val="20"/>
    </w:rPr>
  </w:style>
  <w:style w:type="paragraph" w:styleId="19">
    <w:name w:val="toc 6"/>
    <w:basedOn w:val="1"/>
    <w:next w:val="1"/>
    <w:semiHidden/>
    <w:qFormat/>
    <w:uiPriority w:val="0"/>
    <w:pPr>
      <w:ind w:left="840"/>
      <w:jc w:val="left"/>
    </w:pPr>
    <w:rPr>
      <w:rFonts w:ascii="Times New Roman" w:hAnsi="Times New Roman" w:eastAsia="宋体" w:cs="Times New Roman"/>
      <w:sz w:val="20"/>
      <w:szCs w:val="20"/>
    </w:rPr>
  </w:style>
  <w:style w:type="paragraph" w:styleId="20">
    <w:name w:val="Body Text Indent 3"/>
    <w:basedOn w:val="1"/>
    <w:link w:val="34"/>
    <w:qFormat/>
    <w:uiPriority w:val="0"/>
    <w:pPr>
      <w:tabs>
        <w:tab w:val="left" w:pos="1800"/>
      </w:tabs>
      <w:spacing w:line="360" w:lineRule="auto"/>
      <w:ind w:left="900" w:firstLine="540" w:firstLineChars="225"/>
    </w:pPr>
    <w:rPr>
      <w:rFonts w:ascii="Times New Roman" w:hAnsi="Times New Roman" w:eastAsia="宋体" w:cs="Times New Roman"/>
      <w:sz w:val="24"/>
      <w:szCs w:val="24"/>
    </w:rPr>
  </w:style>
  <w:style w:type="paragraph" w:styleId="21">
    <w:name w:val="toc 2"/>
    <w:basedOn w:val="1"/>
    <w:next w:val="1"/>
    <w:semiHidden/>
    <w:qFormat/>
    <w:uiPriority w:val="0"/>
    <w:pPr>
      <w:spacing w:before="240"/>
      <w:jc w:val="left"/>
    </w:pPr>
    <w:rPr>
      <w:rFonts w:ascii="Times New Roman" w:hAnsi="Times New Roman" w:eastAsia="宋体" w:cs="Times New Roman"/>
      <w:b/>
      <w:bCs/>
      <w:sz w:val="20"/>
      <w:szCs w:val="20"/>
    </w:rPr>
  </w:style>
  <w:style w:type="paragraph" w:styleId="22">
    <w:name w:val="toc 9"/>
    <w:basedOn w:val="1"/>
    <w:next w:val="1"/>
    <w:semiHidden/>
    <w:qFormat/>
    <w:uiPriority w:val="0"/>
    <w:pPr>
      <w:ind w:left="1470"/>
      <w:jc w:val="left"/>
    </w:pPr>
    <w:rPr>
      <w:rFonts w:ascii="Times New Roman" w:hAnsi="Times New Roman" w:eastAsia="宋体" w:cs="Times New Roman"/>
      <w:sz w:val="20"/>
      <w:szCs w:val="20"/>
    </w:rPr>
  </w:style>
  <w:style w:type="table" w:styleId="24">
    <w:name w:val="Table Grid"/>
    <w:basedOn w:val="23"/>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customStyle="1" w:styleId="30">
    <w:name w:val="标题 1 字符"/>
    <w:basedOn w:val="25"/>
    <w:link w:val="2"/>
    <w:qFormat/>
    <w:uiPriority w:val="0"/>
    <w:rPr>
      <w:rFonts w:ascii="宋体" w:hAnsi="Times New Roman" w:eastAsia="宋体" w:cs="Times New Roman"/>
      <w:b/>
      <w:color w:val="000000"/>
      <w:sz w:val="24"/>
      <w:szCs w:val="20"/>
    </w:rPr>
  </w:style>
  <w:style w:type="character" w:customStyle="1" w:styleId="31">
    <w:name w:val="标题 2 字符"/>
    <w:basedOn w:val="25"/>
    <w:link w:val="3"/>
    <w:qFormat/>
    <w:uiPriority w:val="0"/>
    <w:rPr>
      <w:rFonts w:ascii="幼圆" w:hAnsi="Times New Roman" w:eastAsia="幼圆" w:cs="Times New Roman"/>
      <w:b/>
      <w:color w:val="0000FF"/>
      <w:sz w:val="16"/>
      <w:szCs w:val="24"/>
    </w:rPr>
  </w:style>
  <w:style w:type="character" w:customStyle="1" w:styleId="32">
    <w:name w:val="正文文本缩进 字符"/>
    <w:basedOn w:val="25"/>
    <w:link w:val="8"/>
    <w:qFormat/>
    <w:uiPriority w:val="0"/>
    <w:rPr>
      <w:rFonts w:ascii="Times New Roman" w:hAnsi="Times New Roman" w:eastAsia="宋体" w:cs="Times New Roman"/>
      <w:sz w:val="24"/>
      <w:szCs w:val="24"/>
    </w:rPr>
  </w:style>
  <w:style w:type="character" w:customStyle="1" w:styleId="33">
    <w:name w:val="正文文本缩进 2 字符"/>
    <w:basedOn w:val="25"/>
    <w:link w:val="13"/>
    <w:qFormat/>
    <w:uiPriority w:val="0"/>
    <w:rPr>
      <w:rFonts w:ascii="Times New Roman" w:hAnsi="Times New Roman" w:eastAsia="宋体" w:cs="Times New Roman"/>
      <w:sz w:val="24"/>
      <w:szCs w:val="24"/>
    </w:rPr>
  </w:style>
  <w:style w:type="character" w:customStyle="1" w:styleId="34">
    <w:name w:val="正文文本缩进 3 字符"/>
    <w:basedOn w:val="25"/>
    <w:link w:val="20"/>
    <w:qFormat/>
    <w:uiPriority w:val="0"/>
    <w:rPr>
      <w:rFonts w:ascii="Times New Roman" w:hAnsi="Times New Roman" w:eastAsia="宋体" w:cs="Times New Roman"/>
      <w:sz w:val="24"/>
      <w:szCs w:val="24"/>
    </w:rPr>
  </w:style>
  <w:style w:type="character" w:customStyle="1" w:styleId="35">
    <w:name w:val="正文文本 字符"/>
    <w:basedOn w:val="25"/>
    <w:link w:val="7"/>
    <w:qFormat/>
    <w:uiPriority w:val="0"/>
    <w:rPr>
      <w:rFonts w:ascii="Times New Roman" w:hAnsi="Times New Roman" w:eastAsia="宋体" w:cs="Times New Roman"/>
      <w:sz w:val="24"/>
      <w:szCs w:val="24"/>
    </w:rPr>
  </w:style>
  <w:style w:type="character" w:customStyle="1" w:styleId="36">
    <w:name w:val="日期 字符"/>
    <w:basedOn w:val="25"/>
    <w:link w:val="12"/>
    <w:qFormat/>
    <w:uiPriority w:val="0"/>
    <w:rPr>
      <w:rFonts w:ascii="Times New Roman" w:hAnsi="Times New Roman" w:eastAsia="宋体" w:cs="Times New Roman"/>
      <w:sz w:val="24"/>
      <w:szCs w:val="24"/>
    </w:rPr>
  </w:style>
  <w:style w:type="character" w:customStyle="1" w:styleId="37">
    <w:name w:val="页眉 字符"/>
    <w:basedOn w:val="25"/>
    <w:link w:val="16"/>
    <w:qFormat/>
    <w:uiPriority w:val="0"/>
    <w:rPr>
      <w:rFonts w:ascii="Times New Roman" w:hAnsi="Times New Roman" w:eastAsia="宋体" w:cs="Times New Roman"/>
      <w:sz w:val="18"/>
      <w:szCs w:val="18"/>
    </w:rPr>
  </w:style>
  <w:style w:type="character" w:customStyle="1" w:styleId="38">
    <w:name w:val="页脚 字符"/>
    <w:basedOn w:val="25"/>
    <w:link w:val="15"/>
    <w:qFormat/>
    <w:uiPriority w:val="0"/>
    <w:rPr>
      <w:rFonts w:ascii="Times New Roman" w:hAnsi="Times New Roman" w:eastAsia="宋体" w:cs="Times New Roman"/>
      <w:sz w:val="18"/>
      <w:szCs w:val="18"/>
    </w:rPr>
  </w:style>
  <w:style w:type="character" w:customStyle="1" w:styleId="39">
    <w:name w:val="f141"/>
    <w:qFormat/>
    <w:uiPriority w:val="0"/>
    <w:rPr>
      <w:spacing w:val="432"/>
      <w:sz w:val="20"/>
      <w:szCs w:val="20"/>
    </w:rPr>
  </w:style>
  <w:style w:type="character" w:customStyle="1" w:styleId="40">
    <w:name w:val="t21"/>
    <w:basedOn w:val="25"/>
    <w:qFormat/>
    <w:uiPriority w:val="0"/>
  </w:style>
  <w:style w:type="character" w:customStyle="1" w:styleId="41">
    <w:name w:val="批注框文本 字符"/>
    <w:basedOn w:val="25"/>
    <w:link w:val="14"/>
    <w:qFormat/>
    <w:uiPriority w:val="0"/>
    <w:rPr>
      <w:rFonts w:ascii="Times New Roman" w:hAnsi="Times New Roman" w:eastAsia="宋体" w:cs="Times New Roman"/>
      <w:sz w:val="18"/>
      <w:szCs w:val="18"/>
    </w:rPr>
  </w:style>
  <w:style w:type="paragraph" w:styleId="42">
    <w:name w:val="List Paragraph"/>
    <w:basedOn w:val="1"/>
    <w:qFormat/>
    <w:uiPriority w:val="34"/>
    <w:pPr>
      <w:ind w:firstLine="420" w:firstLineChars="200"/>
    </w:pPr>
    <w:rPr>
      <w:rFonts w:ascii="Times New Roman" w:hAnsi="Times New Roman" w:eastAsia="宋体" w:cs="Times New Roman"/>
      <w:szCs w:val="24"/>
    </w:rPr>
  </w:style>
  <w:style w:type="paragraph" w:customStyle="1" w:styleId="43">
    <w:name w:val="tytytyty"/>
    <w:basedOn w:val="1"/>
    <w:link w:val="44"/>
    <w:qFormat/>
    <w:uiPriority w:val="0"/>
    <w:pPr>
      <w:spacing w:line="360" w:lineRule="auto"/>
      <w:ind w:left="359" w:leftChars="171" w:firstLine="480" w:firstLineChars="200"/>
    </w:pPr>
    <w:rPr>
      <w:rFonts w:ascii="Times New Roman" w:hAnsi="Times New Roman" w:eastAsia="宋体" w:cs="Times New Roman"/>
      <w:sz w:val="24"/>
      <w:szCs w:val="24"/>
      <w:lang w:val="zh-CN" w:eastAsia="zh-CN"/>
    </w:rPr>
  </w:style>
  <w:style w:type="character" w:customStyle="1" w:styleId="44">
    <w:name w:val="tytytyty Char1"/>
    <w:link w:val="43"/>
    <w:qFormat/>
    <w:uiPriority w:val="0"/>
    <w:rPr>
      <w:rFonts w:ascii="Times New Roman" w:hAnsi="Times New Roman" w:eastAsia="宋体" w:cs="Times New Roman"/>
      <w:sz w:val="24"/>
      <w:szCs w:val="24"/>
      <w:lang w:val="zh-CN" w:eastAsia="zh-CN"/>
    </w:rPr>
  </w:style>
  <w:style w:type="character" w:customStyle="1" w:styleId="45">
    <w:name w:val="标题 3 字符"/>
    <w:basedOn w:val="25"/>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1516</Words>
  <Characters>1637</Characters>
  <Lines>13</Lines>
  <Paragraphs>3</Paragraphs>
  <TotalTime>146</TotalTime>
  <ScaleCrop>false</ScaleCrop>
  <LinksUpToDate>false</LinksUpToDate>
  <CharactersWithSpaces>1662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2023-03-23T00:09:00Z</dcterms:created>
  <dc:creator>hui zhang</dc:creator>
  <cp:lastModifiedBy>二附院采购部</cp:lastModifiedBy>
  <dcterms:modified xsi:type="dcterms:W3CDTF">2024-07-24T09:39:24Z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F593830377204FCE84F04FFE0F9EBAEE_12</vt:lpwstr>
  </property>
</Properties>
</file>