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040"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32"/>
        <w:gridCol w:w="6579"/>
        <w:gridCol w:w="849"/>
      </w:tblGrid>
      <w:tr w14:paraId="6CC88C9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040" w:type="dxa"/>
            <w:gridSpan w:val="4"/>
            <w:tcBorders>
              <w:bottom w:val="single" w:color="auto" w:sz="4" w:space="0"/>
            </w:tcBorders>
            <w:vAlign w:val="center"/>
          </w:tcPr>
          <w:p w14:paraId="304766E2">
            <w:pPr>
              <w:spacing w:before="156" w:after="156"/>
              <w:jc w:val="center"/>
              <w:rPr>
                <w:rFonts w:hint="default" w:eastAsiaTheme="minorEastAsia"/>
                <w:b/>
                <w:bCs/>
                <w:kern w:val="2"/>
                <w:sz w:val="22"/>
                <w:szCs w:val="22"/>
                <w:lang w:val="en-US" w:eastAsia="zh-CN"/>
              </w:rPr>
            </w:pPr>
            <w:r>
              <w:rPr>
                <w:rFonts w:hint="eastAsia"/>
                <w:b/>
                <w:bCs/>
                <w:kern w:val="2"/>
                <w:sz w:val="22"/>
                <w:szCs w:val="22"/>
                <w:lang w:val="en-US" w:eastAsia="zh-CN"/>
              </w:rPr>
              <w:t>评分标准</w:t>
            </w:r>
          </w:p>
        </w:tc>
      </w:tr>
      <w:tr w14:paraId="4A3146C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680" w:type="dxa"/>
            <w:tcBorders>
              <w:top w:val="single" w:color="auto" w:sz="4" w:space="0"/>
              <w:left w:val="single" w:color="auto" w:sz="4" w:space="0"/>
            </w:tcBorders>
            <w:vAlign w:val="center"/>
          </w:tcPr>
          <w:p w14:paraId="5001F9E6">
            <w:pPr>
              <w:spacing w:before="156" w:after="156"/>
              <w:jc w:val="center"/>
              <w:rPr>
                <w:bCs/>
                <w:kern w:val="2"/>
                <w:sz w:val="22"/>
                <w:szCs w:val="22"/>
              </w:rPr>
            </w:pPr>
            <w:r>
              <w:rPr>
                <w:rFonts w:hint="eastAsia"/>
                <w:bCs/>
                <w:kern w:val="2"/>
                <w:sz w:val="22"/>
                <w:szCs w:val="22"/>
              </w:rPr>
              <w:t>1</w:t>
            </w:r>
          </w:p>
        </w:tc>
        <w:tc>
          <w:tcPr>
            <w:tcW w:w="1932" w:type="dxa"/>
            <w:tcBorders>
              <w:top w:val="single" w:color="auto" w:sz="4" w:space="0"/>
            </w:tcBorders>
            <w:vAlign w:val="center"/>
          </w:tcPr>
          <w:p w14:paraId="58C0CF45">
            <w:pPr>
              <w:spacing w:before="156" w:after="156"/>
              <w:jc w:val="center"/>
              <w:rPr>
                <w:rFonts w:hint="eastAsia" w:eastAsiaTheme="minorEastAsia"/>
                <w:bCs/>
                <w:kern w:val="2"/>
                <w:sz w:val="22"/>
                <w:szCs w:val="22"/>
                <w:lang w:eastAsia="zh-CN"/>
              </w:rPr>
            </w:pPr>
            <w:r>
              <w:rPr>
                <w:rFonts w:hint="eastAsia"/>
                <w:bCs/>
                <w:kern w:val="2"/>
                <w:sz w:val="22"/>
                <w:szCs w:val="22"/>
                <w:lang w:val="en-US" w:eastAsia="zh-CN"/>
              </w:rPr>
              <w:t>综合实力</w:t>
            </w:r>
          </w:p>
        </w:tc>
        <w:tc>
          <w:tcPr>
            <w:tcW w:w="6579" w:type="dxa"/>
            <w:tcBorders>
              <w:top w:val="single" w:color="auto" w:sz="4" w:space="0"/>
            </w:tcBorders>
            <w:vAlign w:val="center"/>
          </w:tcPr>
          <w:p w14:paraId="56F3FBB4">
            <w:pPr>
              <w:spacing w:line="360" w:lineRule="auto"/>
              <w:rPr>
                <w:rFonts w:hint="default" w:eastAsiaTheme="minorEastAsia"/>
                <w:kern w:val="2"/>
                <w:sz w:val="22"/>
                <w:szCs w:val="22"/>
                <w:lang w:val="en-US" w:eastAsia="zh-CN"/>
              </w:rPr>
            </w:pPr>
            <w:r>
              <w:rPr>
                <w:rFonts w:hint="eastAsia"/>
                <w:kern w:val="2"/>
                <w:sz w:val="22"/>
                <w:szCs w:val="22"/>
                <w:lang w:val="en-US" w:eastAsia="zh-CN"/>
              </w:rPr>
              <w:t>1.</w:t>
            </w:r>
            <w:r>
              <w:rPr>
                <w:rFonts w:hint="eastAsia"/>
                <w:kern w:val="2"/>
                <w:sz w:val="22"/>
                <w:szCs w:val="22"/>
              </w:rPr>
              <w:t>投标人应在</w:t>
            </w:r>
            <w:r>
              <w:rPr>
                <w:rFonts w:hint="eastAsia"/>
                <w:kern w:val="2"/>
                <w:sz w:val="22"/>
                <w:szCs w:val="22"/>
                <w:lang w:eastAsia="zh-CN"/>
              </w:rPr>
              <w:t>海南</w:t>
            </w:r>
            <w:r>
              <w:rPr>
                <w:rFonts w:hint="eastAsia"/>
                <w:kern w:val="2"/>
                <w:sz w:val="22"/>
                <w:szCs w:val="22"/>
              </w:rPr>
              <w:t>省市场监督管理局完成备案，符合《计量法》、《</w:t>
            </w:r>
            <w:r>
              <w:rPr>
                <w:rFonts w:hint="eastAsia"/>
                <w:kern w:val="2"/>
                <w:sz w:val="22"/>
                <w:szCs w:val="22"/>
                <w:lang w:val="en-US" w:eastAsia="zh-CN"/>
              </w:rPr>
              <w:t>海南</w:t>
            </w:r>
            <w:r>
              <w:rPr>
                <w:rFonts w:hint="eastAsia"/>
                <w:kern w:val="2"/>
                <w:sz w:val="22"/>
                <w:szCs w:val="22"/>
              </w:rPr>
              <w:t>省计量管理条例》等的法制要求</w:t>
            </w:r>
            <w:r>
              <w:rPr>
                <w:rFonts w:hint="eastAsia"/>
                <w:kern w:val="2"/>
                <w:sz w:val="22"/>
                <w:szCs w:val="22"/>
                <w:lang w:eastAsia="zh-CN"/>
              </w:rPr>
              <w:t>，</w:t>
            </w:r>
            <w:r>
              <w:rPr>
                <w:rFonts w:hint="eastAsia"/>
                <w:kern w:val="2"/>
                <w:sz w:val="22"/>
                <w:szCs w:val="22"/>
              </w:rPr>
              <w:t>可在本省范围内开展计量检测业务</w:t>
            </w:r>
            <w:r>
              <w:rPr>
                <w:rFonts w:hint="eastAsia"/>
                <w:kern w:val="2"/>
                <w:sz w:val="22"/>
                <w:szCs w:val="22"/>
                <w:lang w:val="en-US" w:eastAsia="zh-CN"/>
              </w:rPr>
              <w:t xml:space="preserve">  10分</w:t>
            </w:r>
          </w:p>
          <w:p w14:paraId="6E63D9AB">
            <w:pPr>
              <w:spacing w:line="360" w:lineRule="auto"/>
              <w:rPr>
                <w:rFonts w:hint="eastAsia"/>
                <w:kern w:val="2"/>
                <w:sz w:val="22"/>
                <w:szCs w:val="22"/>
                <w:lang w:val="en-US" w:eastAsia="zh-CN"/>
              </w:rPr>
            </w:pPr>
            <w:r>
              <w:rPr>
                <w:rFonts w:hint="eastAsia"/>
                <w:kern w:val="2"/>
                <w:sz w:val="22"/>
                <w:szCs w:val="22"/>
                <w:lang w:val="en-US" w:eastAsia="zh-CN"/>
              </w:rPr>
              <w:t>2.</w:t>
            </w:r>
            <w:r>
              <w:rPr>
                <w:rFonts w:hint="eastAsia"/>
                <w:kern w:val="2"/>
                <w:sz w:val="22"/>
                <w:szCs w:val="22"/>
              </w:rPr>
              <w:t>校准检测项目应建立计量标准或国家实验室认可(CNAS)</w:t>
            </w:r>
            <w:r>
              <w:rPr>
                <w:rFonts w:hint="eastAsia"/>
                <w:kern w:val="2"/>
                <w:sz w:val="22"/>
                <w:szCs w:val="22"/>
                <w:lang w:val="en-US" w:eastAsia="zh-CN"/>
              </w:rPr>
              <w:t xml:space="preserve">   </w:t>
            </w:r>
            <w:bookmarkStart w:id="0" w:name="_GoBack"/>
            <w:bookmarkEnd w:id="0"/>
            <w:r>
              <w:rPr>
                <w:rFonts w:hint="eastAsia"/>
                <w:kern w:val="2"/>
                <w:sz w:val="22"/>
                <w:szCs w:val="22"/>
                <w:lang w:val="en-US" w:eastAsia="zh-CN"/>
              </w:rPr>
              <w:t xml:space="preserve">10分     </w:t>
            </w:r>
          </w:p>
          <w:p w14:paraId="2AC6AA60">
            <w:pPr>
              <w:pStyle w:val="2"/>
              <w:jc w:val="both"/>
              <w:rPr>
                <w:rFonts w:hint="default"/>
                <w:lang w:val="en-US" w:eastAsia="zh-CN"/>
              </w:rPr>
            </w:pPr>
            <w:r>
              <w:rPr>
                <w:rFonts w:hint="eastAsia"/>
                <w:b w:val="0"/>
                <w:bCs w:val="0"/>
                <w:kern w:val="2"/>
                <w:sz w:val="22"/>
                <w:szCs w:val="22"/>
                <w:lang w:val="en-US" w:eastAsia="zh-CN"/>
              </w:rPr>
              <w:t>3.国家法定计量检定机构计量授权证等资质               10分</w:t>
            </w:r>
          </w:p>
          <w:p w14:paraId="4127D976">
            <w:pPr>
              <w:spacing w:line="360" w:lineRule="auto"/>
              <w:rPr>
                <w:kern w:val="2"/>
                <w:sz w:val="22"/>
                <w:szCs w:val="22"/>
              </w:rPr>
            </w:pPr>
            <w:r>
              <w:rPr>
                <w:rFonts w:hint="eastAsia"/>
                <w:kern w:val="2"/>
                <w:sz w:val="22"/>
                <w:szCs w:val="22"/>
              </w:rPr>
              <w:t>(以上证书须在有效期内，提供证书复印件以及中国国家认证认可监督管理委员会网站查询截图证明材料，不提供不得分。)</w:t>
            </w:r>
          </w:p>
        </w:tc>
        <w:tc>
          <w:tcPr>
            <w:tcW w:w="849" w:type="dxa"/>
            <w:tcBorders>
              <w:top w:val="single" w:color="auto" w:sz="4" w:space="0"/>
              <w:right w:val="single" w:color="auto" w:sz="4" w:space="0"/>
            </w:tcBorders>
            <w:vAlign w:val="center"/>
          </w:tcPr>
          <w:p w14:paraId="09F62B3D">
            <w:pPr>
              <w:pStyle w:val="3"/>
              <w:widowControl/>
              <w:spacing w:before="100" w:beforeAutospacing="0" w:after="0"/>
              <w:ind w:left="0" w:leftChars="0"/>
              <w:jc w:val="center"/>
              <w:rPr>
                <w:rFonts w:ascii="宋体" w:hAnsi="宋体" w:cs="宋体"/>
                <w:sz w:val="22"/>
                <w:szCs w:val="22"/>
              </w:rPr>
            </w:pPr>
            <w:r>
              <w:rPr>
                <w:rFonts w:hint="eastAsia" w:ascii="宋体" w:hAnsi="宋体" w:cs="宋体"/>
                <w:bCs/>
                <w:sz w:val="22"/>
                <w:szCs w:val="22"/>
                <w:lang w:val="en-US" w:eastAsia="zh-CN"/>
              </w:rPr>
              <w:t>30</w:t>
            </w:r>
            <w:r>
              <w:rPr>
                <w:rFonts w:hint="eastAsia" w:ascii="宋体" w:hAnsi="宋体" w:cs="宋体"/>
                <w:bCs/>
                <w:sz w:val="22"/>
                <w:szCs w:val="22"/>
              </w:rPr>
              <w:t>分</w:t>
            </w:r>
          </w:p>
        </w:tc>
      </w:tr>
      <w:tr w14:paraId="533BFF4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tcBorders>
              <w:left w:val="single" w:color="auto" w:sz="4" w:space="0"/>
            </w:tcBorders>
            <w:vAlign w:val="center"/>
          </w:tcPr>
          <w:p w14:paraId="7DB311CB">
            <w:pPr>
              <w:spacing w:before="156" w:after="156"/>
              <w:jc w:val="center"/>
              <w:rPr>
                <w:bCs/>
                <w:kern w:val="2"/>
                <w:sz w:val="22"/>
                <w:szCs w:val="22"/>
              </w:rPr>
            </w:pPr>
            <w:r>
              <w:rPr>
                <w:rFonts w:hint="eastAsia"/>
                <w:bCs/>
                <w:kern w:val="2"/>
                <w:sz w:val="22"/>
                <w:szCs w:val="22"/>
              </w:rPr>
              <w:t>2</w:t>
            </w:r>
          </w:p>
        </w:tc>
        <w:tc>
          <w:tcPr>
            <w:tcW w:w="1932" w:type="dxa"/>
            <w:vAlign w:val="center"/>
          </w:tcPr>
          <w:p w14:paraId="4C6124A6">
            <w:pPr>
              <w:spacing w:before="156" w:after="156"/>
              <w:jc w:val="center"/>
              <w:rPr>
                <w:bCs/>
                <w:kern w:val="2"/>
                <w:sz w:val="22"/>
                <w:szCs w:val="22"/>
              </w:rPr>
            </w:pPr>
            <w:r>
              <w:rPr>
                <w:rFonts w:hint="eastAsia"/>
                <w:kern w:val="2"/>
                <w:sz w:val="22"/>
                <w:szCs w:val="22"/>
              </w:rPr>
              <w:t>类似业绩</w:t>
            </w:r>
          </w:p>
        </w:tc>
        <w:tc>
          <w:tcPr>
            <w:tcW w:w="6579" w:type="dxa"/>
            <w:vAlign w:val="center"/>
          </w:tcPr>
          <w:p w14:paraId="0273A1A1">
            <w:pPr>
              <w:keepNext w:val="0"/>
              <w:keepLines w:val="0"/>
              <w:pageBreakBefore w:val="0"/>
              <w:widowControl w:val="0"/>
              <w:kinsoku/>
              <w:wordWrap/>
              <w:overflowPunct/>
              <w:topLinePunct w:val="0"/>
              <w:autoSpaceDE w:val="0"/>
              <w:autoSpaceDN w:val="0"/>
              <w:bidi w:val="0"/>
              <w:adjustRightInd/>
              <w:spacing w:before="156" w:after="156" w:line="360" w:lineRule="auto"/>
              <w:textAlignment w:val="auto"/>
              <w:rPr>
                <w:kern w:val="2"/>
                <w:sz w:val="22"/>
                <w:szCs w:val="22"/>
              </w:rPr>
            </w:pPr>
            <w:r>
              <w:rPr>
                <w:rFonts w:hint="eastAsia"/>
                <w:kern w:val="2"/>
                <w:sz w:val="22"/>
                <w:szCs w:val="22"/>
              </w:rPr>
              <w:t>20</w:t>
            </w:r>
            <w:r>
              <w:rPr>
                <w:rFonts w:hint="eastAsia"/>
                <w:kern w:val="2"/>
                <w:sz w:val="22"/>
                <w:szCs w:val="22"/>
                <w:lang w:val="en-US"/>
              </w:rPr>
              <w:t>2</w:t>
            </w:r>
            <w:r>
              <w:rPr>
                <w:rFonts w:hint="eastAsia"/>
                <w:kern w:val="2"/>
                <w:sz w:val="22"/>
                <w:szCs w:val="22"/>
                <w:lang w:val="en-US" w:eastAsia="zh-CN"/>
              </w:rPr>
              <w:t>0</w:t>
            </w:r>
            <w:r>
              <w:rPr>
                <w:rFonts w:hint="eastAsia"/>
                <w:kern w:val="2"/>
                <w:sz w:val="22"/>
                <w:szCs w:val="22"/>
              </w:rPr>
              <w:t>年1月1日至今具有</w:t>
            </w:r>
            <w:r>
              <w:rPr>
                <w:rFonts w:hint="eastAsia"/>
                <w:kern w:val="2"/>
                <w:sz w:val="22"/>
                <w:szCs w:val="22"/>
                <w:lang w:val="en-US" w:eastAsia="zh-CN"/>
              </w:rPr>
              <w:t>完成过或正在履约的三甲医院的项目业绩</w:t>
            </w:r>
            <w:r>
              <w:rPr>
                <w:rFonts w:hint="eastAsia"/>
                <w:kern w:val="2"/>
                <w:sz w:val="22"/>
                <w:szCs w:val="22"/>
              </w:rPr>
              <w:t>，每提供1份合同得</w:t>
            </w:r>
            <w:r>
              <w:rPr>
                <w:rFonts w:hint="eastAsia"/>
                <w:kern w:val="2"/>
                <w:sz w:val="22"/>
                <w:szCs w:val="22"/>
                <w:lang w:val="en-US" w:eastAsia="zh-CN"/>
              </w:rPr>
              <w:t>5</w:t>
            </w:r>
            <w:r>
              <w:rPr>
                <w:rFonts w:hint="eastAsia"/>
                <w:kern w:val="2"/>
                <w:sz w:val="22"/>
                <w:szCs w:val="22"/>
              </w:rPr>
              <w:t>分，本项满分</w:t>
            </w:r>
            <w:r>
              <w:rPr>
                <w:rFonts w:hint="eastAsia"/>
                <w:kern w:val="2"/>
                <w:sz w:val="22"/>
                <w:szCs w:val="22"/>
                <w:lang w:val="en-US" w:eastAsia="zh-CN"/>
              </w:rPr>
              <w:t>20</w:t>
            </w:r>
            <w:r>
              <w:rPr>
                <w:rFonts w:hint="eastAsia"/>
                <w:kern w:val="2"/>
                <w:sz w:val="22"/>
                <w:szCs w:val="22"/>
              </w:rPr>
              <w:t>分。</w:t>
            </w:r>
          </w:p>
          <w:p w14:paraId="16F21EF7">
            <w:pPr>
              <w:spacing w:line="360" w:lineRule="auto"/>
              <w:rPr>
                <w:kern w:val="2"/>
                <w:sz w:val="22"/>
                <w:szCs w:val="22"/>
                <w:lang w:val="en-US"/>
              </w:rPr>
            </w:pPr>
            <w:r>
              <w:rPr>
                <w:rFonts w:hint="eastAsia"/>
                <w:kern w:val="2"/>
                <w:sz w:val="22"/>
                <w:szCs w:val="22"/>
              </w:rPr>
              <w:t>证明材料：</w:t>
            </w:r>
            <w:r>
              <w:rPr>
                <w:rFonts w:hint="eastAsia"/>
                <w:kern w:val="2"/>
                <w:sz w:val="22"/>
                <w:szCs w:val="22"/>
                <w:lang w:val="en-US" w:eastAsia="zh-CN"/>
              </w:rPr>
              <w:t>以合同签订时间为准，</w:t>
            </w:r>
            <w:r>
              <w:rPr>
                <w:rFonts w:hint="eastAsia"/>
                <w:kern w:val="2"/>
                <w:sz w:val="22"/>
                <w:szCs w:val="22"/>
              </w:rPr>
              <w:t>提供合同复印件加盖公章，未提供不得分。</w:t>
            </w:r>
          </w:p>
        </w:tc>
        <w:tc>
          <w:tcPr>
            <w:tcW w:w="849" w:type="dxa"/>
            <w:tcBorders>
              <w:right w:val="single" w:color="auto" w:sz="4" w:space="0"/>
            </w:tcBorders>
            <w:vAlign w:val="center"/>
          </w:tcPr>
          <w:p w14:paraId="7608DD17">
            <w:pPr>
              <w:widowControl/>
              <w:spacing w:line="440" w:lineRule="exact"/>
              <w:jc w:val="center"/>
              <w:rPr>
                <w:kern w:val="2"/>
                <w:sz w:val="22"/>
                <w:szCs w:val="22"/>
              </w:rPr>
            </w:pPr>
            <w:r>
              <w:rPr>
                <w:rFonts w:hint="eastAsia"/>
                <w:bCs/>
                <w:kern w:val="2"/>
                <w:sz w:val="22"/>
                <w:szCs w:val="22"/>
                <w:lang w:val="en-US" w:eastAsia="zh-CN"/>
              </w:rPr>
              <w:t>20</w:t>
            </w:r>
            <w:r>
              <w:rPr>
                <w:rFonts w:hint="eastAsia"/>
                <w:bCs/>
                <w:kern w:val="2"/>
                <w:sz w:val="22"/>
                <w:szCs w:val="22"/>
                <w:lang w:val="en-US"/>
              </w:rPr>
              <w:t>分</w:t>
            </w:r>
          </w:p>
        </w:tc>
      </w:tr>
      <w:tr w14:paraId="2A4A397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80" w:type="dxa"/>
            <w:tcBorders>
              <w:left w:val="single" w:color="auto" w:sz="4" w:space="0"/>
            </w:tcBorders>
            <w:vAlign w:val="center"/>
          </w:tcPr>
          <w:p w14:paraId="587D6EEC">
            <w:pPr>
              <w:spacing w:before="156" w:after="156"/>
              <w:jc w:val="center"/>
              <w:rPr>
                <w:bCs/>
                <w:kern w:val="2"/>
                <w:sz w:val="22"/>
                <w:szCs w:val="22"/>
                <w:lang w:val="en-US"/>
              </w:rPr>
            </w:pPr>
            <w:r>
              <w:rPr>
                <w:rFonts w:hint="eastAsia"/>
                <w:bCs/>
                <w:kern w:val="2"/>
                <w:sz w:val="22"/>
                <w:szCs w:val="22"/>
                <w:lang w:val="en-US"/>
              </w:rPr>
              <w:t>3</w:t>
            </w:r>
          </w:p>
        </w:tc>
        <w:tc>
          <w:tcPr>
            <w:tcW w:w="1932" w:type="dxa"/>
            <w:vAlign w:val="center"/>
          </w:tcPr>
          <w:p w14:paraId="51E2BACF">
            <w:pPr>
              <w:spacing w:line="360" w:lineRule="auto"/>
              <w:jc w:val="center"/>
              <w:rPr>
                <w:rFonts w:hint="default"/>
                <w:bCs/>
                <w:kern w:val="2"/>
                <w:sz w:val="22"/>
                <w:szCs w:val="22"/>
                <w:lang w:val="en-US"/>
              </w:rPr>
            </w:pPr>
            <w:r>
              <w:rPr>
                <w:rFonts w:hint="eastAsia"/>
                <w:kern w:val="2"/>
                <w:sz w:val="22"/>
                <w:szCs w:val="22"/>
                <w:lang w:val="en-US" w:eastAsia="zh-CN"/>
              </w:rPr>
              <w:t>团队配备</w:t>
            </w:r>
          </w:p>
        </w:tc>
        <w:tc>
          <w:tcPr>
            <w:tcW w:w="6579" w:type="dxa"/>
            <w:vAlign w:val="center"/>
          </w:tcPr>
          <w:p w14:paraId="035B61F2">
            <w:pPr>
              <w:spacing w:before="156" w:after="156"/>
              <w:rPr>
                <w:rFonts w:hint="default"/>
                <w:kern w:val="2"/>
                <w:sz w:val="22"/>
                <w:szCs w:val="22"/>
                <w:lang w:val="en-US" w:eastAsia="zh-CN"/>
              </w:rPr>
            </w:pPr>
            <w:r>
              <w:rPr>
                <w:rFonts w:hint="default"/>
                <w:kern w:val="2"/>
                <w:sz w:val="22"/>
                <w:szCs w:val="22"/>
                <w:lang w:val="en-US" w:eastAsia="zh-CN"/>
              </w:rPr>
              <w:t>1.拟投入本项目的服务团队人员</w:t>
            </w:r>
            <w:r>
              <w:rPr>
                <w:rFonts w:hint="default" w:ascii="Arial" w:hAnsi="Arial" w:cs="Arial"/>
                <w:kern w:val="2"/>
                <w:sz w:val="22"/>
                <w:szCs w:val="22"/>
                <w:lang w:val="en-US" w:eastAsia="zh-CN"/>
              </w:rPr>
              <w:t>≥</w:t>
            </w:r>
            <w:r>
              <w:rPr>
                <w:rFonts w:hint="default"/>
                <w:kern w:val="2"/>
                <w:sz w:val="22"/>
                <w:szCs w:val="22"/>
                <w:lang w:val="en-US" w:eastAsia="zh-CN"/>
              </w:rPr>
              <w:t>8人，得</w:t>
            </w:r>
            <w:r>
              <w:rPr>
                <w:rFonts w:hint="eastAsia"/>
                <w:kern w:val="2"/>
                <w:sz w:val="22"/>
                <w:szCs w:val="22"/>
                <w:lang w:val="en-US" w:eastAsia="zh-CN"/>
              </w:rPr>
              <w:t>3</w:t>
            </w:r>
            <w:r>
              <w:rPr>
                <w:rFonts w:hint="default"/>
                <w:kern w:val="2"/>
                <w:sz w:val="22"/>
                <w:szCs w:val="22"/>
                <w:lang w:val="en-US" w:eastAsia="zh-CN"/>
              </w:rPr>
              <w:t>分。每增加</w:t>
            </w:r>
            <w:r>
              <w:rPr>
                <w:rFonts w:hint="eastAsia"/>
                <w:kern w:val="2"/>
                <w:sz w:val="22"/>
                <w:szCs w:val="22"/>
                <w:lang w:val="en-US" w:eastAsia="zh-CN"/>
              </w:rPr>
              <w:t>2</w:t>
            </w:r>
            <w:r>
              <w:rPr>
                <w:rFonts w:hint="default"/>
                <w:kern w:val="2"/>
                <w:sz w:val="22"/>
                <w:szCs w:val="22"/>
                <w:lang w:val="en-US" w:eastAsia="zh-CN"/>
              </w:rPr>
              <w:t>人得</w:t>
            </w:r>
            <w:r>
              <w:rPr>
                <w:rFonts w:hint="eastAsia"/>
                <w:kern w:val="2"/>
                <w:sz w:val="22"/>
                <w:szCs w:val="22"/>
                <w:lang w:val="en-US" w:eastAsia="zh-CN"/>
              </w:rPr>
              <w:t>1</w:t>
            </w:r>
            <w:r>
              <w:rPr>
                <w:rFonts w:hint="default"/>
                <w:kern w:val="2"/>
                <w:sz w:val="22"/>
                <w:szCs w:val="22"/>
                <w:lang w:val="en-US" w:eastAsia="zh-CN"/>
              </w:rPr>
              <w:t>分，本项最高</w:t>
            </w:r>
            <w:r>
              <w:rPr>
                <w:rFonts w:hint="eastAsia"/>
                <w:kern w:val="2"/>
                <w:sz w:val="22"/>
                <w:szCs w:val="22"/>
                <w:lang w:val="en-US" w:eastAsia="zh-CN"/>
              </w:rPr>
              <w:t>6</w:t>
            </w:r>
            <w:r>
              <w:rPr>
                <w:rFonts w:hint="default"/>
                <w:kern w:val="2"/>
                <w:sz w:val="22"/>
                <w:szCs w:val="22"/>
                <w:lang w:val="en-US" w:eastAsia="zh-CN"/>
              </w:rPr>
              <w:t>分。</w:t>
            </w:r>
          </w:p>
          <w:p w14:paraId="2E17A6EF">
            <w:pPr>
              <w:spacing w:before="156" w:after="156"/>
              <w:rPr>
                <w:rFonts w:hint="default"/>
                <w:kern w:val="2"/>
                <w:sz w:val="22"/>
                <w:szCs w:val="22"/>
                <w:lang w:val="en-US" w:eastAsia="zh-CN"/>
              </w:rPr>
            </w:pPr>
            <w:r>
              <w:rPr>
                <w:rFonts w:hint="default"/>
                <w:kern w:val="2"/>
                <w:sz w:val="22"/>
                <w:szCs w:val="22"/>
                <w:lang w:val="en-US" w:eastAsia="zh-CN"/>
              </w:rPr>
              <w:t>(社保证明及从业证明等相关材料。)</w:t>
            </w:r>
          </w:p>
          <w:p w14:paraId="1A107561">
            <w:pPr>
              <w:spacing w:before="156" w:after="156"/>
              <w:rPr>
                <w:rFonts w:hint="default"/>
                <w:kern w:val="2"/>
                <w:sz w:val="22"/>
                <w:szCs w:val="22"/>
                <w:lang w:val="en-US" w:eastAsia="zh-CN"/>
              </w:rPr>
            </w:pPr>
            <w:r>
              <w:rPr>
                <w:rFonts w:hint="default"/>
                <w:kern w:val="2"/>
                <w:sz w:val="22"/>
                <w:szCs w:val="22"/>
                <w:lang w:val="en-US" w:eastAsia="zh-CN"/>
              </w:rPr>
              <w:t>2.拟投入本项目的服务团队人员具备一级注册计量师，每增加1人，得</w:t>
            </w:r>
            <w:r>
              <w:rPr>
                <w:rFonts w:hint="eastAsia"/>
                <w:kern w:val="2"/>
                <w:sz w:val="22"/>
                <w:szCs w:val="22"/>
                <w:lang w:val="en-US" w:eastAsia="zh-CN"/>
              </w:rPr>
              <w:t>1.2</w:t>
            </w:r>
            <w:r>
              <w:rPr>
                <w:rFonts w:hint="default"/>
                <w:kern w:val="2"/>
                <w:sz w:val="22"/>
                <w:szCs w:val="22"/>
                <w:lang w:val="en-US" w:eastAsia="zh-CN"/>
              </w:rPr>
              <w:t>分，本项最高</w:t>
            </w:r>
            <w:r>
              <w:rPr>
                <w:rFonts w:hint="eastAsia"/>
                <w:kern w:val="2"/>
                <w:sz w:val="22"/>
                <w:szCs w:val="22"/>
                <w:lang w:val="en-US" w:eastAsia="zh-CN"/>
              </w:rPr>
              <w:t>6</w:t>
            </w:r>
            <w:r>
              <w:rPr>
                <w:rFonts w:hint="default"/>
                <w:kern w:val="2"/>
                <w:sz w:val="22"/>
                <w:szCs w:val="22"/>
                <w:lang w:val="en-US" w:eastAsia="zh-CN"/>
              </w:rPr>
              <w:t>分。(提供资格证书、职称证书、社保证明及从业证明等相关材料。)</w:t>
            </w:r>
          </w:p>
          <w:p w14:paraId="6F341D3F">
            <w:pPr>
              <w:spacing w:before="156" w:after="156"/>
              <w:rPr>
                <w:rFonts w:hint="eastAsia"/>
                <w:kern w:val="2"/>
                <w:sz w:val="22"/>
                <w:szCs w:val="22"/>
                <w:lang w:val="en-US" w:eastAsia="zh-CN"/>
              </w:rPr>
            </w:pPr>
            <w:r>
              <w:rPr>
                <w:rFonts w:hint="default"/>
                <w:kern w:val="2"/>
                <w:sz w:val="22"/>
                <w:szCs w:val="22"/>
                <w:lang w:val="en-US" w:eastAsia="zh-CN"/>
              </w:rPr>
              <w:t>3.拟投入本项目的服务团队人员二级注册计量师每增加</w:t>
            </w:r>
            <w:r>
              <w:rPr>
                <w:rFonts w:hint="eastAsia"/>
                <w:kern w:val="2"/>
                <w:sz w:val="22"/>
                <w:szCs w:val="22"/>
                <w:lang w:val="en-US" w:eastAsia="zh-CN"/>
              </w:rPr>
              <w:t>1</w:t>
            </w:r>
            <w:r>
              <w:rPr>
                <w:rFonts w:hint="default"/>
                <w:kern w:val="2"/>
                <w:sz w:val="22"/>
                <w:szCs w:val="22"/>
                <w:lang w:val="en-US" w:eastAsia="zh-CN"/>
              </w:rPr>
              <w:t>人得</w:t>
            </w:r>
            <w:r>
              <w:rPr>
                <w:rFonts w:hint="eastAsia"/>
                <w:kern w:val="2"/>
                <w:sz w:val="22"/>
                <w:szCs w:val="22"/>
                <w:lang w:val="en-US" w:eastAsia="zh-CN"/>
              </w:rPr>
              <w:t>0.8</w:t>
            </w:r>
            <w:r>
              <w:rPr>
                <w:rFonts w:hint="default"/>
                <w:kern w:val="2"/>
                <w:sz w:val="22"/>
                <w:szCs w:val="22"/>
                <w:lang w:val="en-US" w:eastAsia="zh-CN"/>
              </w:rPr>
              <w:t>分，本项最高</w:t>
            </w:r>
            <w:r>
              <w:rPr>
                <w:rFonts w:hint="eastAsia"/>
                <w:kern w:val="2"/>
                <w:sz w:val="22"/>
                <w:szCs w:val="22"/>
                <w:lang w:val="en-US" w:eastAsia="zh-CN"/>
              </w:rPr>
              <w:t>4</w:t>
            </w:r>
            <w:r>
              <w:rPr>
                <w:rFonts w:hint="default"/>
                <w:kern w:val="2"/>
                <w:sz w:val="22"/>
                <w:szCs w:val="22"/>
                <w:lang w:val="en-US" w:eastAsia="zh-CN"/>
              </w:rPr>
              <w:t>分。(提供资格证书</w:t>
            </w:r>
            <w:r>
              <w:rPr>
                <w:rFonts w:hint="eastAsia"/>
                <w:kern w:val="2"/>
                <w:sz w:val="22"/>
                <w:szCs w:val="22"/>
                <w:lang w:val="en-US" w:eastAsia="zh-CN"/>
              </w:rPr>
              <w:t>）</w:t>
            </w:r>
          </w:p>
          <w:p w14:paraId="5FA20DC5">
            <w:pPr>
              <w:spacing w:before="156" w:after="156"/>
              <w:rPr>
                <w:kern w:val="2"/>
                <w:sz w:val="22"/>
                <w:szCs w:val="22"/>
              </w:rPr>
            </w:pPr>
            <w:r>
              <w:rPr>
                <w:rFonts w:hint="eastAsia"/>
                <w:kern w:val="2"/>
                <w:sz w:val="22"/>
                <w:szCs w:val="22"/>
                <w:lang w:val="en-US" w:eastAsia="zh-CN"/>
              </w:rPr>
              <w:t>4</w:t>
            </w:r>
            <w:r>
              <w:rPr>
                <w:rFonts w:hint="default"/>
                <w:kern w:val="2"/>
                <w:sz w:val="22"/>
                <w:szCs w:val="22"/>
                <w:lang w:val="en-US" w:eastAsia="zh-CN"/>
              </w:rPr>
              <w:t>.拟投入本项目的负责人具有一级注册计量师执业资格且具有中级及以上职称，同时具有从事医疗器具计量检定、校准行业5年及以上工作经验的得</w:t>
            </w:r>
            <w:r>
              <w:rPr>
                <w:rFonts w:hint="eastAsia"/>
                <w:kern w:val="2"/>
                <w:sz w:val="22"/>
                <w:szCs w:val="22"/>
                <w:lang w:val="en-US" w:eastAsia="zh-CN"/>
              </w:rPr>
              <w:t>4</w:t>
            </w:r>
            <w:r>
              <w:rPr>
                <w:rFonts w:hint="default"/>
                <w:kern w:val="2"/>
                <w:sz w:val="22"/>
                <w:szCs w:val="22"/>
                <w:lang w:val="en-US" w:eastAsia="zh-CN"/>
              </w:rPr>
              <w:t xml:space="preserve">分。(提供资格证书、职称证书、社保证明及从业证明等相关材料。) </w:t>
            </w:r>
          </w:p>
        </w:tc>
        <w:tc>
          <w:tcPr>
            <w:tcW w:w="849" w:type="dxa"/>
            <w:tcBorders>
              <w:right w:val="single" w:color="auto" w:sz="4" w:space="0"/>
            </w:tcBorders>
            <w:vAlign w:val="center"/>
          </w:tcPr>
          <w:p w14:paraId="7659A108">
            <w:pPr>
              <w:spacing w:line="360" w:lineRule="auto"/>
              <w:jc w:val="center"/>
              <w:textAlignment w:val="center"/>
              <w:rPr>
                <w:bCs/>
                <w:kern w:val="2"/>
                <w:sz w:val="22"/>
                <w:szCs w:val="22"/>
                <w:lang w:val="en-US"/>
              </w:rPr>
            </w:pPr>
            <w:r>
              <w:rPr>
                <w:rFonts w:hint="eastAsia"/>
                <w:color w:val="000000"/>
                <w:kern w:val="2"/>
                <w:sz w:val="22"/>
                <w:szCs w:val="22"/>
                <w:lang w:val="en-US" w:eastAsia="zh-CN"/>
              </w:rPr>
              <w:t>2</w:t>
            </w:r>
            <w:r>
              <w:rPr>
                <w:rFonts w:hint="eastAsia"/>
                <w:color w:val="000000"/>
                <w:kern w:val="2"/>
                <w:sz w:val="22"/>
                <w:szCs w:val="22"/>
                <w:lang w:val="en-US"/>
              </w:rPr>
              <w:t>0分</w:t>
            </w:r>
          </w:p>
        </w:tc>
      </w:tr>
      <w:tr w14:paraId="35F67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7297CAF">
            <w:pPr>
              <w:spacing w:before="156" w:after="156"/>
              <w:jc w:val="center"/>
              <w:rPr>
                <w:rFonts w:hint="default" w:eastAsia="宋体"/>
                <w:kern w:val="2"/>
                <w:sz w:val="22"/>
                <w:szCs w:val="22"/>
                <w:lang w:val="en-US" w:eastAsia="zh-CN"/>
              </w:rPr>
            </w:pPr>
            <w:r>
              <w:rPr>
                <w:rFonts w:hint="eastAsia"/>
                <w:kern w:val="2"/>
                <w:sz w:val="22"/>
                <w:szCs w:val="22"/>
                <w:lang w:val="en-US" w:eastAsia="zh-CN"/>
              </w:rPr>
              <w:t>4</w:t>
            </w:r>
          </w:p>
        </w:tc>
        <w:tc>
          <w:tcPr>
            <w:tcW w:w="1932" w:type="dxa"/>
            <w:tcBorders>
              <w:top w:val="single" w:color="auto" w:sz="4" w:space="0"/>
              <w:left w:val="single" w:color="auto" w:sz="4" w:space="0"/>
              <w:bottom w:val="single" w:color="auto" w:sz="4" w:space="0"/>
              <w:right w:val="single" w:color="auto" w:sz="4" w:space="0"/>
            </w:tcBorders>
            <w:vAlign w:val="center"/>
          </w:tcPr>
          <w:p w14:paraId="517312A4">
            <w:pPr>
              <w:spacing w:before="156" w:after="156"/>
              <w:jc w:val="center"/>
              <w:rPr>
                <w:kern w:val="2"/>
                <w:sz w:val="22"/>
                <w:szCs w:val="22"/>
                <w:lang w:val="en-US"/>
              </w:rPr>
            </w:pPr>
            <w:r>
              <w:rPr>
                <w:rFonts w:hint="eastAsia"/>
                <w:kern w:val="2"/>
                <w:sz w:val="22"/>
                <w:szCs w:val="22"/>
                <w:lang w:val="en-US"/>
              </w:rPr>
              <w:t>投标报价得分</w:t>
            </w:r>
          </w:p>
        </w:tc>
        <w:tc>
          <w:tcPr>
            <w:tcW w:w="6579" w:type="dxa"/>
            <w:tcBorders>
              <w:top w:val="single" w:color="auto" w:sz="4" w:space="0"/>
              <w:left w:val="single" w:color="auto" w:sz="4" w:space="0"/>
              <w:bottom w:val="single" w:color="auto" w:sz="4" w:space="0"/>
              <w:right w:val="single" w:color="auto" w:sz="4" w:space="0"/>
            </w:tcBorders>
            <w:vAlign w:val="center"/>
          </w:tcPr>
          <w:p w14:paraId="51FDF75D">
            <w:pPr>
              <w:snapToGrid w:val="0"/>
              <w:spacing w:before="156" w:after="156"/>
              <w:rPr>
                <w:kern w:val="2"/>
                <w:sz w:val="22"/>
                <w:szCs w:val="22"/>
              </w:rPr>
            </w:pPr>
            <w:r>
              <w:rPr>
                <w:rFonts w:hint="eastAsia"/>
                <w:kern w:val="2"/>
                <w:sz w:val="22"/>
                <w:szCs w:val="22"/>
              </w:rPr>
              <w:t>满足</w:t>
            </w:r>
            <w:r>
              <w:rPr>
                <w:rFonts w:hint="eastAsia"/>
                <w:kern w:val="2"/>
                <w:sz w:val="22"/>
                <w:szCs w:val="22"/>
                <w:lang w:val="en-US" w:eastAsia="zh-CN"/>
              </w:rPr>
              <w:t>调研</w:t>
            </w:r>
            <w:r>
              <w:rPr>
                <w:rFonts w:hint="eastAsia"/>
                <w:kern w:val="2"/>
                <w:sz w:val="22"/>
                <w:szCs w:val="22"/>
              </w:rPr>
              <w:t>文件要求且报价最低的报价为基准价，其价格分为满分。其他供应商的价格分统一按照下列公式计算：报价得分=(基准价／报价)* 30%*100</w:t>
            </w:r>
          </w:p>
        </w:tc>
        <w:tc>
          <w:tcPr>
            <w:tcW w:w="849" w:type="dxa"/>
            <w:tcBorders>
              <w:top w:val="single" w:color="auto" w:sz="4" w:space="0"/>
              <w:left w:val="single" w:color="auto" w:sz="4" w:space="0"/>
              <w:bottom w:val="single" w:color="auto" w:sz="4" w:space="0"/>
              <w:right w:val="single" w:color="auto" w:sz="4" w:space="0"/>
            </w:tcBorders>
            <w:vAlign w:val="center"/>
          </w:tcPr>
          <w:p w14:paraId="17D09F2D">
            <w:pPr>
              <w:spacing w:before="156" w:after="156"/>
              <w:jc w:val="center"/>
              <w:rPr>
                <w:bCs/>
                <w:kern w:val="2"/>
                <w:sz w:val="22"/>
                <w:szCs w:val="22"/>
              </w:rPr>
            </w:pPr>
            <w:r>
              <w:rPr>
                <w:rFonts w:hint="eastAsia"/>
                <w:bCs/>
                <w:kern w:val="2"/>
                <w:sz w:val="22"/>
                <w:szCs w:val="22"/>
                <w:lang w:val="en-US" w:eastAsia="zh-CN"/>
              </w:rPr>
              <w:t>30</w:t>
            </w:r>
            <w:r>
              <w:rPr>
                <w:rFonts w:hint="eastAsia"/>
                <w:bCs/>
                <w:kern w:val="2"/>
                <w:sz w:val="22"/>
                <w:szCs w:val="22"/>
              </w:rPr>
              <w:t>分</w:t>
            </w:r>
          </w:p>
        </w:tc>
      </w:tr>
    </w:tbl>
    <w:p w14:paraId="29412B62">
      <w:pPr>
        <w:rPr>
          <w:sz w:val="2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DdlYmEzMmEwMDdiNjY3ZDI4NzhmZWIzYTA2ODgifQ=="/>
  </w:docVars>
  <w:rsids>
    <w:rsidRoot w:val="0EC04440"/>
    <w:rsid w:val="037B1DF5"/>
    <w:rsid w:val="0AEB1631"/>
    <w:rsid w:val="0EC04440"/>
    <w:rsid w:val="19F04746"/>
    <w:rsid w:val="1BDD656B"/>
    <w:rsid w:val="1E940045"/>
    <w:rsid w:val="2338130A"/>
    <w:rsid w:val="261753B8"/>
    <w:rsid w:val="2A727352"/>
    <w:rsid w:val="3C543B60"/>
    <w:rsid w:val="406774D0"/>
    <w:rsid w:val="413146D6"/>
    <w:rsid w:val="49A55DC9"/>
    <w:rsid w:val="4AB97940"/>
    <w:rsid w:val="4B0853EA"/>
    <w:rsid w:val="59C35EFF"/>
    <w:rsid w:val="5F3E282E"/>
    <w:rsid w:val="68AF6306"/>
    <w:rsid w:val="6F4D1369"/>
    <w:rsid w:val="7CAE6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1"/>
    <w:pPr>
      <w:spacing w:before="49"/>
      <w:jc w:val="center"/>
      <w:outlineLvl w:val="2"/>
    </w:pPr>
    <w:rPr>
      <w:b/>
      <w:bCs/>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beforeAutospacing="1" w:after="120" w:line="480" w:lineRule="auto"/>
      <w:ind w:left="420" w:leftChars="200"/>
      <w:jc w:val="both"/>
    </w:pPr>
    <w:rPr>
      <w:rFonts w:ascii="Calibri" w:hAnsi="Calibri" w:cs="Times New Roman"/>
      <w:kern w:val="2"/>
      <w:sz w:val="21"/>
      <w:szCs w:val="21"/>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663</Words>
  <Characters>702</Characters>
  <Lines>0</Lines>
  <Paragraphs>0</Paragraphs>
  <TotalTime>8</TotalTime>
  <ScaleCrop>false</ScaleCrop>
  <LinksUpToDate>false</LinksUpToDate>
  <CharactersWithSpaces>745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2024-02-07T08:29:00Z</dcterms:created>
  <dc:creator>Administrator</dc:creator>
  <cp:lastModifiedBy>曾广泽</cp:lastModifiedBy>
  <cp:lastPrinted>2025-05-25T23:51:00Z</cp:lastPrinted>
  <dcterms:modified xsi:type="dcterms:W3CDTF">2025-07-17T08:25:48Z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DE820D754D2C45A994BC462C18FDBF90_11</vt:lpwstr>
  </property>
  <property fmtid="{D5CDD505-2E9C-101B-9397-08002B2CF9AE}" pid="4" name="KSOTemplateDocerSaveRecord">
    <vt:lpwstr>eyJoZGlkIjoiYzdkODFlYzc3NWFjYTVkNzc3MjVkZGE5Yzc2OTc0NmIiLCJ1c2VySWQiOiIxMzMxNzA4NjU0In0=</vt:lpwstr>
  </property>
</Properties>
</file>